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pBdr>
          <w:bottom w:val="single" w:sz="4" w:space="4" w:color="AACCEE"/>
        </w:pBdr>
        <w:spacing w:before="0" w:after="120"/>
        <w:rPr/>
      </w:pPr>
      <w:r>
        <w:rPr>
          <w:rFonts w:eastAsia="Arial" w:cs="Arial" w:ascii="Arial" w:hAnsi="Arial"/>
          <w:b/>
          <w:bCs/>
          <w:color w:val="0B1F38"/>
          <w:sz w:val="30"/>
          <w:szCs w:val="30"/>
        </w:rPr>
        <w:t>Case at a Glance — Complete Facts Table</w:t>
      </w:r>
    </w:p>
    <w:tbl>
      <w:tblPr>
        <w:tblW w:w="9200" w:type="dxa"/>
        <w:jc w:val="start"/>
        <w:tblInd w:w="0" w:type="dxa"/>
        <w:tblLayout w:type="fixed"/>
        <w:tblCellMar>
          <w:top w:w="80" w:type="dxa"/>
          <w:start w:w="160" w:type="dxa"/>
          <w:bottom w:w="80" w:type="dxa"/>
          <w:end w:w="160" w:type="dxa"/>
        </w:tblCellMar>
      </w:tblPr>
      <w:tblGrid>
        <w:gridCol w:w="3000"/>
        <w:gridCol w:w="6200"/>
      </w:tblGrid>
      <w:tr>
        <w:trPr/>
        <w:tc>
          <w:tcPr>
            <w:tcW w:w="3000" w:type="dxa"/>
            <w:tcBorders>
              <w:top w:val="single" w:sz="6" w:space="0" w:color="D5D8DC"/>
              <w:start w:val="single" w:sz="6" w:space="0" w:color="D5D8DC"/>
              <w:bottom w:val="single" w:sz="6" w:space="0" w:color="D5D8DC"/>
              <w:end w:val="single" w:sz="6" w:space="0" w:color="D5D8DC"/>
            </w:tcBorders>
            <w:shd w:fill="0B1F38" w:val="clear"/>
          </w:tcPr>
          <w:p>
            <w:pPr>
              <w:pStyle w:val="Normal"/>
              <w:spacing w:before="40" w:after="40"/>
              <w:rPr/>
            </w:pPr>
            <w:r>
              <w:rPr>
                <w:rFonts w:eastAsia="Arial" w:cs="Arial" w:ascii="Arial" w:hAnsi="Arial"/>
                <w:b/>
                <w:bCs/>
                <w:i w:val="false"/>
                <w:iCs w:val="false"/>
                <w:color w:val="FFFFFF"/>
                <w:sz w:val="20"/>
                <w:szCs w:val="20"/>
              </w:rPr>
              <w:t>CASE DETAIL</w:t>
            </w:r>
          </w:p>
        </w:tc>
        <w:tc>
          <w:tcPr>
            <w:tcW w:w="6200" w:type="dxa"/>
            <w:tcBorders>
              <w:top w:val="single" w:sz="6" w:space="0" w:color="D5D8DC"/>
              <w:start w:val="single" w:sz="6" w:space="0" w:color="D5D8DC"/>
              <w:bottom w:val="single" w:sz="6" w:space="0" w:color="D5D8DC"/>
              <w:end w:val="single" w:sz="6" w:space="0" w:color="D5D8DC"/>
            </w:tcBorders>
            <w:shd w:fill="0B1F38" w:val="clear"/>
          </w:tcPr>
          <w:p>
            <w:pPr>
              <w:pStyle w:val="Normal"/>
              <w:spacing w:before="40" w:after="40"/>
              <w:rPr/>
            </w:pPr>
            <w:r>
              <w:rPr>
                <w:rFonts w:eastAsia="Arial" w:cs="Arial" w:ascii="Arial" w:hAnsi="Arial"/>
                <w:b/>
                <w:bCs/>
                <w:i w:val="false"/>
                <w:iCs w:val="false"/>
                <w:color w:val="FFFFFF"/>
                <w:sz w:val="20"/>
                <w:szCs w:val="20"/>
              </w:rPr>
              <w:t>INFORMATION</w:t>
            </w:r>
          </w:p>
        </w:tc>
      </w:tr>
      <w:tr>
        <w:trPr/>
        <w:tc>
          <w:tcPr>
            <w:tcW w:w="3000" w:type="dxa"/>
            <w:tcBorders>
              <w:top w:val="single" w:sz="6" w:space="0" w:color="D5D8DC"/>
              <w:start w:val="single" w:sz="6" w:space="0" w:color="D5D8DC"/>
              <w:bottom w:val="single" w:sz="6" w:space="0" w:color="D5D8DC"/>
              <w:end w:val="single" w:sz="6" w:space="0" w:color="D5D8DC"/>
            </w:tcBorders>
            <w:shd w:fill="EBF5FB" w:val="clear"/>
          </w:tcPr>
          <w:p>
            <w:pPr>
              <w:pStyle w:val="Normal"/>
              <w:spacing w:before="40" w:after="40"/>
              <w:rPr/>
            </w:pPr>
            <w:r>
              <w:rPr>
                <w:rFonts w:eastAsia="Arial" w:cs="Arial" w:ascii="Arial" w:hAnsi="Arial"/>
                <w:b/>
                <w:bCs/>
                <w:i w:val="false"/>
                <w:iCs w:val="false"/>
                <w:color w:val="0B1F38"/>
                <w:sz w:val="20"/>
                <w:szCs w:val="20"/>
              </w:rPr>
              <w:t>Case Title</w:t>
            </w:r>
          </w:p>
        </w:tc>
        <w:tc>
          <w:tcPr>
            <w:tcW w:w="6200" w:type="dxa"/>
            <w:tcBorders>
              <w:top w:val="single" w:sz="6" w:space="0" w:color="D5D8DC"/>
              <w:start w:val="single" w:sz="6" w:space="0" w:color="D5D8DC"/>
              <w:bottom w:val="single" w:sz="6" w:space="0" w:color="D5D8DC"/>
              <w:end w:val="single" w:sz="6" w:space="0" w:color="D5D8DC"/>
            </w:tcBorders>
            <w:shd w:fill="FFFFFF" w:val="clear"/>
          </w:tcPr>
          <w:p>
            <w:pPr>
              <w:pStyle w:val="Normal"/>
              <w:spacing w:before="40" w:after="40"/>
              <w:rPr/>
            </w:pPr>
            <w:r>
              <w:rPr>
                <w:rFonts w:eastAsia="Arial" w:cs="Arial" w:ascii="Arial" w:hAnsi="Arial"/>
                <w:b w:val="false"/>
                <w:bCs w:val="false"/>
                <w:i w:val="false"/>
                <w:iCs w:val="false"/>
                <w:color w:val="333333"/>
                <w:sz w:val="20"/>
                <w:szCs w:val="20"/>
              </w:rPr>
              <w:t>Sameer Ahamed N. v. The District Collector, Thoothukudi &amp; Others</w:t>
            </w:r>
          </w:p>
        </w:tc>
      </w:tr>
      <w:tr>
        <w:trPr/>
        <w:tc>
          <w:tcPr>
            <w:tcW w:w="3000" w:type="dxa"/>
            <w:tcBorders>
              <w:top w:val="single" w:sz="6" w:space="0" w:color="D5D8DC"/>
              <w:start w:val="single" w:sz="6" w:space="0" w:color="D5D8DC"/>
              <w:bottom w:val="single" w:sz="6" w:space="0" w:color="D5D8DC"/>
              <w:end w:val="single" w:sz="6" w:space="0" w:color="D5D8DC"/>
            </w:tcBorders>
            <w:shd w:fill="EBF5FB" w:val="clear"/>
          </w:tcPr>
          <w:p>
            <w:pPr>
              <w:pStyle w:val="Normal"/>
              <w:spacing w:before="40" w:after="40"/>
              <w:rPr/>
            </w:pPr>
            <w:r>
              <w:rPr>
                <w:rFonts w:eastAsia="Arial" w:cs="Arial" w:ascii="Arial" w:hAnsi="Arial"/>
                <w:b/>
                <w:bCs/>
                <w:i w:val="false"/>
                <w:iCs w:val="false"/>
                <w:color w:val="0B1F38"/>
                <w:sz w:val="20"/>
                <w:szCs w:val="20"/>
              </w:rPr>
              <w:t>Case Number</w:t>
            </w:r>
          </w:p>
        </w:tc>
        <w:tc>
          <w:tcPr>
            <w:tcW w:w="6200" w:type="dxa"/>
            <w:tcBorders>
              <w:top w:val="single" w:sz="6" w:space="0" w:color="D5D8DC"/>
              <w:start w:val="single" w:sz="6" w:space="0" w:color="D5D8DC"/>
              <w:bottom w:val="single" w:sz="6" w:space="0" w:color="D5D8DC"/>
              <w:end w:val="single" w:sz="6" w:space="0" w:color="D5D8DC"/>
            </w:tcBorders>
            <w:shd w:fill="FFFFFF" w:val="clear"/>
          </w:tcPr>
          <w:p>
            <w:pPr>
              <w:pStyle w:val="Normal"/>
              <w:spacing w:before="40" w:after="40"/>
              <w:rPr/>
            </w:pPr>
            <w:r>
              <w:rPr>
                <w:rFonts w:eastAsia="Arial" w:cs="Arial" w:ascii="Arial" w:hAnsi="Arial"/>
                <w:b w:val="false"/>
                <w:bCs w:val="false"/>
                <w:i w:val="false"/>
                <w:iCs w:val="false"/>
                <w:color w:val="333333"/>
                <w:sz w:val="20"/>
                <w:szCs w:val="20"/>
              </w:rPr>
              <w:t>WP(MD) No. 7127 of 2022</w:t>
            </w:r>
          </w:p>
        </w:tc>
      </w:tr>
      <w:tr>
        <w:trPr/>
        <w:tc>
          <w:tcPr>
            <w:tcW w:w="3000" w:type="dxa"/>
            <w:tcBorders>
              <w:top w:val="single" w:sz="6" w:space="0" w:color="D5D8DC"/>
              <w:start w:val="single" w:sz="6" w:space="0" w:color="D5D8DC"/>
              <w:bottom w:val="single" w:sz="6" w:space="0" w:color="D5D8DC"/>
              <w:end w:val="single" w:sz="6" w:space="0" w:color="D5D8DC"/>
            </w:tcBorders>
            <w:shd w:fill="EBF5FB" w:val="clear"/>
          </w:tcPr>
          <w:p>
            <w:pPr>
              <w:pStyle w:val="Normal"/>
              <w:spacing w:before="40" w:after="40"/>
              <w:rPr/>
            </w:pPr>
            <w:r>
              <w:rPr>
                <w:rFonts w:eastAsia="Arial" w:cs="Arial" w:ascii="Arial" w:hAnsi="Arial"/>
                <w:b/>
                <w:bCs/>
                <w:i w:val="false"/>
                <w:iCs w:val="false"/>
                <w:color w:val="0B1F38"/>
                <w:sz w:val="20"/>
                <w:szCs w:val="20"/>
              </w:rPr>
              <w:t>Court</w:t>
            </w:r>
          </w:p>
        </w:tc>
        <w:tc>
          <w:tcPr>
            <w:tcW w:w="6200" w:type="dxa"/>
            <w:tcBorders>
              <w:top w:val="single" w:sz="6" w:space="0" w:color="D5D8DC"/>
              <w:start w:val="single" w:sz="6" w:space="0" w:color="D5D8DC"/>
              <w:bottom w:val="single" w:sz="6" w:space="0" w:color="D5D8DC"/>
              <w:end w:val="single" w:sz="6" w:space="0" w:color="D5D8DC"/>
            </w:tcBorders>
            <w:shd w:fill="FFFFFF" w:val="clear"/>
          </w:tcPr>
          <w:p>
            <w:pPr>
              <w:pStyle w:val="Normal"/>
              <w:spacing w:before="40" w:after="40"/>
              <w:rPr/>
            </w:pPr>
            <w:r>
              <w:rPr>
                <w:rFonts w:eastAsia="Arial" w:cs="Arial" w:ascii="Arial" w:hAnsi="Arial"/>
                <w:b w:val="false"/>
                <w:bCs w:val="false"/>
                <w:i w:val="false"/>
                <w:iCs w:val="false"/>
                <w:color w:val="333333"/>
                <w:sz w:val="20"/>
                <w:szCs w:val="20"/>
              </w:rPr>
              <w:t>Madras High Court — Madurai Bench</w:t>
            </w:r>
          </w:p>
        </w:tc>
      </w:tr>
      <w:tr>
        <w:trPr/>
        <w:tc>
          <w:tcPr>
            <w:tcW w:w="3000" w:type="dxa"/>
            <w:tcBorders>
              <w:top w:val="single" w:sz="6" w:space="0" w:color="D5D8DC"/>
              <w:start w:val="single" w:sz="6" w:space="0" w:color="D5D8DC"/>
              <w:bottom w:val="single" w:sz="6" w:space="0" w:color="D5D8DC"/>
              <w:end w:val="single" w:sz="6" w:space="0" w:color="D5D8DC"/>
            </w:tcBorders>
            <w:shd w:fill="EBF5FB" w:val="clear"/>
          </w:tcPr>
          <w:p>
            <w:pPr>
              <w:pStyle w:val="Normal"/>
              <w:spacing w:before="40" w:after="40"/>
              <w:rPr/>
            </w:pPr>
            <w:r>
              <w:rPr>
                <w:rFonts w:eastAsia="Arial" w:cs="Arial" w:ascii="Arial" w:hAnsi="Arial"/>
                <w:b/>
                <w:bCs/>
                <w:i w:val="false"/>
                <w:iCs w:val="false"/>
                <w:color w:val="0B1F38"/>
                <w:sz w:val="20"/>
                <w:szCs w:val="20"/>
              </w:rPr>
              <w:t>Bench</w:t>
            </w:r>
          </w:p>
        </w:tc>
        <w:tc>
          <w:tcPr>
            <w:tcW w:w="6200" w:type="dxa"/>
            <w:tcBorders>
              <w:top w:val="single" w:sz="6" w:space="0" w:color="D5D8DC"/>
              <w:start w:val="single" w:sz="6" w:space="0" w:color="D5D8DC"/>
              <w:bottom w:val="single" w:sz="6" w:space="0" w:color="D5D8DC"/>
              <w:end w:val="single" w:sz="6" w:space="0" w:color="D5D8DC"/>
            </w:tcBorders>
            <w:shd w:fill="FFFFFF" w:val="clear"/>
          </w:tcPr>
          <w:p>
            <w:pPr>
              <w:pStyle w:val="Normal"/>
              <w:spacing w:before="40" w:after="40"/>
              <w:rPr/>
            </w:pPr>
            <w:r>
              <w:rPr>
                <w:rFonts w:eastAsia="Arial" w:cs="Arial" w:ascii="Arial" w:hAnsi="Arial"/>
                <w:b w:val="false"/>
                <w:bCs w:val="false"/>
                <w:i w:val="false"/>
                <w:iCs w:val="false"/>
                <w:color w:val="333333"/>
                <w:sz w:val="20"/>
                <w:szCs w:val="20"/>
              </w:rPr>
              <w:t>Justice G.R. Swaminathan &amp; Justice P.B. Balaji</w:t>
            </w:r>
          </w:p>
        </w:tc>
      </w:tr>
      <w:tr>
        <w:trPr/>
        <w:tc>
          <w:tcPr>
            <w:tcW w:w="3000" w:type="dxa"/>
            <w:tcBorders>
              <w:top w:val="single" w:sz="6" w:space="0" w:color="D5D8DC"/>
              <w:start w:val="single" w:sz="6" w:space="0" w:color="D5D8DC"/>
              <w:bottom w:val="single" w:sz="6" w:space="0" w:color="D5D8DC"/>
              <w:end w:val="single" w:sz="6" w:space="0" w:color="D5D8DC"/>
            </w:tcBorders>
            <w:shd w:fill="EBF5FB" w:val="clear"/>
          </w:tcPr>
          <w:p>
            <w:pPr>
              <w:pStyle w:val="Normal"/>
              <w:spacing w:before="40" w:after="40"/>
              <w:rPr/>
            </w:pPr>
            <w:r>
              <w:rPr>
                <w:rFonts w:eastAsia="Arial" w:cs="Arial" w:ascii="Arial" w:hAnsi="Arial"/>
                <w:b/>
                <w:bCs/>
                <w:i w:val="false"/>
                <w:iCs w:val="false"/>
                <w:color w:val="0B1F38"/>
                <w:sz w:val="20"/>
                <w:szCs w:val="20"/>
              </w:rPr>
              <w:t>Date of Judgment</w:t>
            </w:r>
          </w:p>
        </w:tc>
        <w:tc>
          <w:tcPr>
            <w:tcW w:w="6200" w:type="dxa"/>
            <w:tcBorders>
              <w:top w:val="single" w:sz="6" w:space="0" w:color="D5D8DC"/>
              <w:start w:val="single" w:sz="6" w:space="0" w:color="D5D8DC"/>
              <w:bottom w:val="single" w:sz="6" w:space="0" w:color="D5D8DC"/>
              <w:end w:val="single" w:sz="6" w:space="0" w:color="D5D8DC"/>
            </w:tcBorders>
            <w:shd w:fill="FFFFFF" w:val="clear"/>
          </w:tcPr>
          <w:p>
            <w:pPr>
              <w:pStyle w:val="Normal"/>
              <w:spacing w:before="40" w:after="40"/>
              <w:rPr/>
            </w:pPr>
            <w:r>
              <w:rPr>
                <w:rFonts w:eastAsia="Arial" w:cs="Arial" w:ascii="Arial" w:hAnsi="Arial"/>
                <w:b w:val="false"/>
                <w:bCs w:val="false"/>
                <w:i w:val="false"/>
                <w:iCs w:val="false"/>
                <w:color w:val="333333"/>
                <w:sz w:val="20"/>
                <w:szCs w:val="20"/>
              </w:rPr>
              <w:t>25 June 2026</w:t>
            </w:r>
          </w:p>
        </w:tc>
      </w:tr>
      <w:tr>
        <w:trPr/>
        <w:tc>
          <w:tcPr>
            <w:tcW w:w="3000" w:type="dxa"/>
            <w:tcBorders>
              <w:top w:val="single" w:sz="6" w:space="0" w:color="D5D8DC"/>
              <w:start w:val="single" w:sz="6" w:space="0" w:color="D5D8DC"/>
              <w:bottom w:val="single" w:sz="6" w:space="0" w:color="D5D8DC"/>
              <w:end w:val="single" w:sz="6" w:space="0" w:color="D5D8DC"/>
            </w:tcBorders>
            <w:shd w:fill="EBF5FB" w:val="clear"/>
          </w:tcPr>
          <w:p>
            <w:pPr>
              <w:pStyle w:val="Normal"/>
              <w:spacing w:before="40" w:after="40"/>
              <w:rPr/>
            </w:pPr>
            <w:r>
              <w:rPr>
                <w:rFonts w:eastAsia="Arial" w:cs="Arial" w:ascii="Arial" w:hAnsi="Arial"/>
                <w:b/>
                <w:bCs/>
                <w:i w:val="false"/>
                <w:iCs w:val="false"/>
                <w:color w:val="0B1F38"/>
                <w:sz w:val="20"/>
                <w:szCs w:val="20"/>
              </w:rPr>
              <w:t>Type of Petition</w:t>
            </w:r>
          </w:p>
        </w:tc>
        <w:tc>
          <w:tcPr>
            <w:tcW w:w="6200" w:type="dxa"/>
            <w:tcBorders>
              <w:top w:val="single" w:sz="6" w:space="0" w:color="D5D8DC"/>
              <w:start w:val="single" w:sz="6" w:space="0" w:color="D5D8DC"/>
              <w:bottom w:val="single" w:sz="6" w:space="0" w:color="D5D8DC"/>
              <w:end w:val="single" w:sz="6" w:space="0" w:color="D5D8DC"/>
            </w:tcBorders>
            <w:shd w:fill="FFFFFF" w:val="clear"/>
          </w:tcPr>
          <w:p>
            <w:pPr>
              <w:pStyle w:val="Normal"/>
              <w:spacing w:before="40" w:after="40"/>
              <w:rPr/>
            </w:pPr>
            <w:r>
              <w:rPr>
                <w:rFonts w:eastAsia="Arial" w:cs="Arial" w:ascii="Arial" w:hAnsi="Arial"/>
                <w:b w:val="false"/>
                <w:bCs w:val="false"/>
                <w:i w:val="false"/>
                <w:iCs w:val="false"/>
                <w:color w:val="333333"/>
                <w:sz w:val="20"/>
                <w:szCs w:val="20"/>
              </w:rPr>
              <w:t>Writ of Mandamus under Article 226 of the Constitution</w:t>
            </w:r>
          </w:p>
        </w:tc>
      </w:tr>
      <w:tr>
        <w:trPr/>
        <w:tc>
          <w:tcPr>
            <w:tcW w:w="3000" w:type="dxa"/>
            <w:tcBorders>
              <w:top w:val="single" w:sz="6" w:space="0" w:color="D5D8DC"/>
              <w:start w:val="single" w:sz="6" w:space="0" w:color="D5D8DC"/>
              <w:bottom w:val="single" w:sz="6" w:space="0" w:color="D5D8DC"/>
              <w:end w:val="single" w:sz="6" w:space="0" w:color="D5D8DC"/>
            </w:tcBorders>
            <w:shd w:fill="EBF5FB" w:val="clear"/>
          </w:tcPr>
          <w:p>
            <w:pPr>
              <w:pStyle w:val="Normal"/>
              <w:spacing w:before="40" w:after="40"/>
              <w:rPr/>
            </w:pPr>
            <w:r>
              <w:rPr>
                <w:rFonts w:eastAsia="Arial" w:cs="Arial" w:ascii="Arial" w:hAnsi="Arial"/>
                <w:b/>
                <w:bCs/>
                <w:i w:val="false"/>
                <w:iCs w:val="false"/>
                <w:color w:val="0B1F38"/>
                <w:sz w:val="20"/>
                <w:szCs w:val="20"/>
              </w:rPr>
              <w:t>GO Struck Down</w:t>
            </w:r>
          </w:p>
        </w:tc>
        <w:tc>
          <w:tcPr>
            <w:tcW w:w="6200" w:type="dxa"/>
            <w:tcBorders>
              <w:top w:val="single" w:sz="6" w:space="0" w:color="D5D8DC"/>
              <w:start w:val="single" w:sz="6" w:space="0" w:color="D5D8DC"/>
              <w:bottom w:val="single" w:sz="6" w:space="0" w:color="D5D8DC"/>
              <w:end w:val="single" w:sz="6" w:space="0" w:color="D5D8DC"/>
            </w:tcBorders>
            <w:shd w:fill="FEF3F2" w:val="clear"/>
          </w:tcPr>
          <w:p>
            <w:pPr>
              <w:pStyle w:val="Normal"/>
              <w:spacing w:before="40" w:after="40"/>
              <w:rPr/>
            </w:pPr>
            <w:r>
              <w:rPr>
                <w:rFonts w:eastAsia="Arial" w:cs="Arial" w:ascii="Arial" w:hAnsi="Arial"/>
                <w:b w:val="false"/>
                <w:bCs w:val="false"/>
                <w:i w:val="false"/>
                <w:iCs w:val="false"/>
                <w:color w:val="B03A2E"/>
                <w:sz w:val="20"/>
                <w:szCs w:val="20"/>
              </w:rPr>
              <w:t>G.O. (Ms) No. 31 dated 09.03.2024 — BC/MBC/DNC/SC converts to Islam treated as BC Muslim</w:t>
            </w:r>
          </w:p>
        </w:tc>
      </w:tr>
      <w:tr>
        <w:trPr/>
        <w:tc>
          <w:tcPr>
            <w:tcW w:w="3000" w:type="dxa"/>
            <w:tcBorders>
              <w:top w:val="single" w:sz="6" w:space="0" w:color="D5D8DC"/>
              <w:start w:val="single" w:sz="6" w:space="0" w:color="D5D8DC"/>
              <w:bottom w:val="single" w:sz="6" w:space="0" w:color="D5D8DC"/>
              <w:end w:val="single" w:sz="6" w:space="0" w:color="D5D8DC"/>
            </w:tcBorders>
            <w:shd w:fill="EBF5FB" w:val="clear"/>
          </w:tcPr>
          <w:p>
            <w:pPr>
              <w:pStyle w:val="Normal"/>
              <w:spacing w:before="40" w:after="40"/>
              <w:rPr/>
            </w:pPr>
            <w:r>
              <w:rPr>
                <w:rFonts w:eastAsia="Arial" w:cs="Arial" w:ascii="Arial" w:hAnsi="Arial"/>
                <w:b/>
                <w:bCs/>
                <w:i w:val="false"/>
                <w:iCs w:val="false"/>
                <w:color w:val="0B1F38"/>
                <w:sz w:val="20"/>
                <w:szCs w:val="20"/>
              </w:rPr>
              <w:t>Petitioner's Advocate</w:t>
            </w:r>
          </w:p>
        </w:tc>
        <w:tc>
          <w:tcPr>
            <w:tcW w:w="6200" w:type="dxa"/>
            <w:tcBorders>
              <w:top w:val="single" w:sz="6" w:space="0" w:color="D5D8DC"/>
              <w:start w:val="single" w:sz="6" w:space="0" w:color="D5D8DC"/>
              <w:bottom w:val="single" w:sz="6" w:space="0" w:color="D5D8DC"/>
              <w:end w:val="single" w:sz="6" w:space="0" w:color="D5D8DC"/>
            </w:tcBorders>
            <w:shd w:fill="FFFFFF" w:val="clear"/>
          </w:tcPr>
          <w:p>
            <w:pPr>
              <w:pStyle w:val="Normal"/>
              <w:spacing w:before="40" w:after="40"/>
              <w:rPr/>
            </w:pPr>
            <w:r>
              <w:rPr>
                <w:rFonts w:eastAsia="Arial" w:cs="Arial" w:ascii="Arial" w:hAnsi="Arial"/>
                <w:b w:val="false"/>
                <w:bCs w:val="false"/>
                <w:i w:val="false"/>
                <w:iCs w:val="false"/>
                <w:color w:val="333333"/>
                <w:sz w:val="20"/>
                <w:szCs w:val="20"/>
              </w:rPr>
              <w:t>Adv. R. Maheswaran</w:t>
            </w:r>
          </w:p>
        </w:tc>
      </w:tr>
      <w:tr>
        <w:trPr/>
        <w:tc>
          <w:tcPr>
            <w:tcW w:w="3000" w:type="dxa"/>
            <w:tcBorders>
              <w:top w:val="single" w:sz="6" w:space="0" w:color="D5D8DC"/>
              <w:start w:val="single" w:sz="6" w:space="0" w:color="D5D8DC"/>
              <w:bottom w:val="single" w:sz="6" w:space="0" w:color="D5D8DC"/>
              <w:end w:val="single" w:sz="6" w:space="0" w:color="D5D8DC"/>
            </w:tcBorders>
            <w:shd w:fill="EBF5FB" w:val="clear"/>
          </w:tcPr>
          <w:p>
            <w:pPr>
              <w:pStyle w:val="Normal"/>
              <w:spacing w:before="40" w:after="40"/>
              <w:rPr/>
            </w:pPr>
            <w:r>
              <w:rPr>
                <w:rFonts w:eastAsia="Arial" w:cs="Arial" w:ascii="Arial" w:hAnsi="Arial"/>
                <w:b/>
                <w:bCs/>
                <w:i w:val="false"/>
                <w:iCs w:val="false"/>
                <w:color w:val="0B1F38"/>
                <w:sz w:val="20"/>
                <w:szCs w:val="20"/>
              </w:rPr>
              <w:t>Government Advocate</w:t>
            </w:r>
          </w:p>
        </w:tc>
        <w:tc>
          <w:tcPr>
            <w:tcW w:w="6200" w:type="dxa"/>
            <w:tcBorders>
              <w:top w:val="single" w:sz="6" w:space="0" w:color="D5D8DC"/>
              <w:start w:val="single" w:sz="6" w:space="0" w:color="D5D8DC"/>
              <w:bottom w:val="single" w:sz="6" w:space="0" w:color="D5D8DC"/>
              <w:end w:val="single" w:sz="6" w:space="0" w:color="D5D8DC"/>
            </w:tcBorders>
            <w:shd w:fill="FFFFFF" w:val="clear"/>
          </w:tcPr>
          <w:p>
            <w:pPr>
              <w:pStyle w:val="Normal"/>
              <w:spacing w:before="40" w:after="40"/>
              <w:rPr/>
            </w:pPr>
            <w:r>
              <w:rPr>
                <w:rFonts w:eastAsia="Arial" w:cs="Arial" w:ascii="Arial" w:hAnsi="Arial"/>
                <w:b w:val="false"/>
                <w:bCs w:val="false"/>
                <w:i w:val="false"/>
                <w:iCs w:val="false"/>
                <w:color w:val="333333"/>
                <w:sz w:val="20"/>
                <w:szCs w:val="20"/>
              </w:rPr>
              <w:t>L. Siva, Government Advocate</w:t>
            </w:r>
          </w:p>
        </w:tc>
      </w:tr>
      <w:tr>
        <w:trPr/>
        <w:tc>
          <w:tcPr>
            <w:tcW w:w="3000" w:type="dxa"/>
            <w:tcBorders>
              <w:top w:val="single" w:sz="6" w:space="0" w:color="D5D8DC"/>
              <w:start w:val="single" w:sz="6" w:space="0" w:color="D5D8DC"/>
              <w:bottom w:val="single" w:sz="6" w:space="0" w:color="D5D8DC"/>
              <w:end w:val="single" w:sz="6" w:space="0" w:color="D5D8DC"/>
            </w:tcBorders>
            <w:shd w:fill="EBF5FB" w:val="clear"/>
          </w:tcPr>
          <w:p>
            <w:pPr>
              <w:pStyle w:val="Normal"/>
              <w:spacing w:before="40" w:after="40"/>
              <w:rPr/>
            </w:pPr>
            <w:r>
              <w:rPr>
                <w:rFonts w:eastAsia="Arial" w:cs="Arial" w:ascii="Arial" w:hAnsi="Arial"/>
                <w:b/>
                <w:bCs/>
                <w:i w:val="false"/>
                <w:iCs w:val="false"/>
                <w:color w:val="0B1F38"/>
                <w:sz w:val="20"/>
                <w:szCs w:val="20"/>
              </w:rPr>
              <w:t>Result</w:t>
            </w:r>
          </w:p>
        </w:tc>
        <w:tc>
          <w:tcPr>
            <w:tcW w:w="6200" w:type="dxa"/>
            <w:tcBorders>
              <w:top w:val="single" w:sz="6" w:space="0" w:color="D5D8DC"/>
              <w:start w:val="single" w:sz="6" w:space="0" w:color="D5D8DC"/>
              <w:bottom w:val="single" w:sz="6" w:space="0" w:color="D5D8DC"/>
              <w:end w:val="single" w:sz="6" w:space="0" w:color="D5D8DC"/>
            </w:tcBorders>
            <w:shd w:fill="FEF3F2" w:val="clear"/>
          </w:tcPr>
          <w:p>
            <w:pPr>
              <w:pStyle w:val="Normal"/>
              <w:spacing w:before="40" w:after="40"/>
              <w:rPr/>
            </w:pPr>
            <w:r>
              <w:rPr>
                <w:rFonts w:eastAsia="Arial" w:cs="Arial" w:ascii="Arial" w:hAnsi="Arial"/>
                <w:b w:val="false"/>
                <w:bCs w:val="false"/>
                <w:i w:val="false"/>
                <w:iCs w:val="false"/>
                <w:color w:val="B03A2E"/>
                <w:sz w:val="20"/>
                <w:szCs w:val="20"/>
              </w:rPr>
              <w:t>Writ Petition DISMISSED — Tahsildar's order rejecting community certificate UPHELD — GO struck down as unconstitutional</w:t>
            </w:r>
          </w:p>
        </w:tc>
      </w:tr>
    </w:tbl>
    <w:p>
      <w:pPr>
        <w:pStyle w:val="Normal"/>
        <w:spacing w:before="200" w:after="100"/>
        <w:rPr/>
      </w:pPr>
      <w:r>
        <w:rPr/>
      </w:r>
    </w:p>
    <w:p>
      <w:pPr>
        <w:pStyle w:val="Normal"/>
        <w:pBdr>
          <w:left w:val="single" w:sz="8" w:space="10" w:color="8B6000"/>
        </w:pBdr>
        <w:shd w:val="clear" w:fill="FFFDE7"/>
        <w:spacing w:before="100" w:after="100"/>
        <w:ind w:start="200"/>
        <w:rPr/>
      </w:pPr>
      <w:r>
        <w:rPr>
          <w:rFonts w:eastAsia="Arial" w:cs="Arial" w:ascii="Arial" w:hAnsi="Arial"/>
          <w:b/>
          <w:bCs/>
          <w:color w:val="8B6000"/>
          <w:sz w:val="20"/>
          <w:szCs w:val="20"/>
        </w:rPr>
        <w:t xml:space="preserve">📌 </w:t>
      </w:r>
      <w:r>
        <w:rPr>
          <w:rFonts w:eastAsia="Arial" w:cs="Arial" w:ascii="Arial" w:hAnsi="Arial"/>
          <w:b/>
          <w:bCs/>
          <w:color w:val="8B6000"/>
          <w:sz w:val="20"/>
          <w:szCs w:val="20"/>
        </w:rPr>
        <w:t xml:space="preserve">Significance:  </w:t>
      </w:r>
      <w:r>
        <w:rPr>
          <w:rFonts w:eastAsia="Arial" w:cs="Arial" w:ascii="Arial" w:hAnsi="Arial"/>
          <w:color w:val="333333"/>
          <w:sz w:val="20"/>
          <w:szCs w:val="20"/>
        </w:rPr>
        <w:t>This is a landmark Madras High Court judgment delivered on 25 June 2026, directly impacting reservation benefits for religious converts in Tamil Nadu. It strikes down G.O. (Ms) No. 31 dated 09.03.2024, holding it unconstitutional. Every advocate practising in Tamil Nadu must know this judgment.</w:t>
      </w:r>
    </w:p>
    <w:p>
      <w:pPr>
        <w:pStyle w:val="Heading2"/>
        <w:pBdr>
          <w:bottom w:val="single" w:sz="4" w:space="4" w:color="AACCEE"/>
        </w:pBdr>
        <w:spacing w:before="300" w:after="120"/>
        <w:rPr/>
      </w:pPr>
      <w:r>
        <w:rPr>
          <w:rFonts w:eastAsia="Arial" w:cs="Arial" w:ascii="Arial" w:hAnsi="Arial"/>
          <w:b/>
          <w:bCs/>
          <w:color w:val="0B1F38"/>
          <w:sz w:val="30"/>
          <w:szCs w:val="30"/>
        </w:rPr>
        <w:t>Introduction - A Judgment That Reshapes Tamil Nadu Reservation Law</w:t>
      </w:r>
    </w:p>
    <w:p>
      <w:pPr>
        <w:pStyle w:val="Normal"/>
        <w:spacing w:before="120" w:after="120"/>
        <w:jc w:val="both"/>
        <w:rPr/>
      </w:pPr>
      <w:r>
        <w:rPr>
          <w:rFonts w:eastAsia="Georgia" w:cs="Georgia"/>
          <w:sz w:val="22"/>
          <w:szCs w:val="22"/>
        </w:rPr>
        <w:t>On 25 June 2026, the Madurai Bench of the Madras High Court delivered a landmark constitutional judgment with profound implications for reservation law in Tamil Nadu. A Division Bench of Justice G.R. Swaminathan and Justice P.B. Balaji struck down G.O. (Ms) No. 31 dated 09 March 2024, issued by the Tamil Nadu Government's Backward Classes, Most Backward Classes and Minorities Welfare Department. The Government Order had permitted persons converting to Islam from Backward Classes (BC), Most Backward Classes (MBC), Denotified Communities (DNC), and Scheduled Castes (SC) to be treated as Backward Class Muslims and issued community certificates as belonging to one of the seven notified BC Muslim sects in Tamil Nadu.</w:t>
      </w:r>
    </w:p>
    <w:p>
      <w:pPr>
        <w:pStyle w:val="Normal"/>
        <w:spacing w:before="120" w:after="120"/>
        <w:jc w:val="both"/>
        <w:rPr/>
      </w:pPr>
      <w:r>
        <w:rPr>
          <w:rFonts w:eastAsia="Georgia" w:cs="Georgia"/>
          <w:sz w:val="22"/>
          <w:szCs w:val="22"/>
        </w:rPr>
        <w:t>The Court's ruling was unequivocal and categorical: a convert to Islam cannot claim the status of Backward Class Muslim. He is simply a Muslim and that, as the Court put it, 'is all there is to it.' This judgment settles a long-standing legal controversy in Tamil Nadu, reaffirms the binding authority of a 1951 Madras High Court Division Bench decision, and imposes clear constitutional limits on the executive's power to extend reservation benefits through Government Orders.</w:t>
      </w:r>
    </w:p>
    <w:p>
      <w:pPr>
        <w:pStyle w:val="Normal"/>
        <w:pBdr>
          <w:left w:val="single" w:sz="8" w:space="10" w:color="B03A2E"/>
        </w:pBdr>
        <w:shd w:val="clear" w:fill="FEF3F2"/>
        <w:spacing w:before="100" w:after="100"/>
        <w:ind w:start="200"/>
        <w:rPr/>
      </w:pPr>
      <w:r>
        <w:rPr>
          <w:rFonts w:eastAsia="Arial" w:cs="Arial" w:ascii="Arial" w:hAnsi="Arial"/>
          <w:b/>
          <w:bCs/>
          <w:color w:val="8B6000"/>
          <w:sz w:val="20"/>
          <w:szCs w:val="20"/>
        </w:rPr>
        <w:t xml:space="preserve">⚠  </w:t>
      </w:r>
      <w:r>
        <w:rPr>
          <w:rFonts w:eastAsia="Arial" w:cs="Arial" w:ascii="Arial" w:hAnsi="Arial"/>
          <w:b/>
          <w:bCs/>
          <w:color w:val="8B6000"/>
          <w:sz w:val="20"/>
          <w:szCs w:val="20"/>
        </w:rPr>
        <w:t xml:space="preserve">WARNING:  </w:t>
      </w:r>
      <w:r>
        <w:rPr>
          <w:rFonts w:eastAsia="Arial" w:cs="Arial" w:ascii="Arial" w:hAnsi="Arial"/>
          <w:color w:val="333333"/>
          <w:sz w:val="20"/>
          <w:szCs w:val="20"/>
        </w:rPr>
        <w:t>This judgment directly affects every person who converted to Islam from a reserved community and is currently holding a BC Muslim community certificate based on G.O. (Ms) No. 31 of 2024. Legal advice should be obtained immediately regarding the status of such certificates.</w:t>
      </w:r>
    </w:p>
    <w:p>
      <w:pPr>
        <w:pStyle w:val="Heading2"/>
        <w:pBdr>
          <w:bottom w:val="single" w:sz="4" w:space="4" w:color="AACCEE"/>
        </w:pBdr>
        <w:spacing w:before="300" w:after="120"/>
        <w:rPr/>
      </w:pPr>
      <w:r>
        <w:rPr>
          <w:rFonts w:eastAsia="Arial" w:cs="Arial" w:ascii="Arial" w:hAnsi="Arial"/>
          <w:b/>
          <w:bCs/>
          <w:color w:val="0B1F38"/>
          <w:sz w:val="30"/>
          <w:szCs w:val="30"/>
        </w:rPr>
        <w:t>Background - Who is Sameer Ahamed?</w:t>
      </w:r>
    </w:p>
    <w:p>
      <w:pPr>
        <w:pStyle w:val="Normal"/>
        <w:spacing w:before="120" w:after="120"/>
        <w:jc w:val="both"/>
        <w:rPr/>
      </w:pPr>
      <w:r>
        <w:rPr>
          <w:rFonts w:eastAsia="Georgia" w:cs="Georgia"/>
          <w:sz w:val="22"/>
          <w:szCs w:val="22"/>
        </w:rPr>
        <w:t>The petitioner, Sameer Ahamed N. (formerly known as Paramasivam), was born in 1993 to a Hindu couple — Narayanan and Gomathiammal in the Thoothukudi district of Tamil Nadu. On 7 September 2015, he formally embraced Islam and changed his name to Sameer Ahamed. His conversion was certified by Sunnath Jamath, Kayathar. A Gazette notification recording his conversion was issued in 2016. He subsequently married under Islamic rites and had two children.</w:t>
      </w:r>
    </w:p>
    <w:p>
      <w:pPr>
        <w:pStyle w:val="Normal"/>
        <w:spacing w:before="120" w:after="120"/>
        <w:jc w:val="both"/>
        <w:rPr/>
      </w:pPr>
      <w:r>
        <w:rPr>
          <w:rFonts w:eastAsia="Georgia" w:cs="Georgia"/>
          <w:sz w:val="22"/>
          <w:szCs w:val="22"/>
        </w:rPr>
        <w:t>After his conversion, Sameer Ahamed applied for a community certificate before the Tahsildar, Kayathar, identifying him as belonging to the 'Muslim Lebbai' community one of the seven Muslim communities recognised as Backward Class Muslims under Tamil Nadu's reservation framework. The Tahsildar rejected his application. The rejection was based on the established legal position that conversion to Islam does not entitle a person to claim membership of a specific Muslim sect for reservation purposes.</w:t>
      </w:r>
    </w:p>
    <w:p>
      <w:pPr>
        <w:pStyle w:val="Normal"/>
        <w:spacing w:before="120" w:after="120"/>
        <w:jc w:val="both"/>
        <w:rPr/>
      </w:pPr>
      <w:r>
        <w:rPr>
          <w:rFonts w:eastAsia="Georgia" w:cs="Georgia"/>
          <w:sz w:val="22"/>
          <w:szCs w:val="22"/>
        </w:rPr>
        <w:t>Aggrieved, Sameer Ahamed filed WP(MD) No. 7127 of 2022 before the Madurai Bench of the Madras High Court, challenging the Tahsildar's rejection and seeking a writ of Mandamus directing issuance of the community certificate. During the pendency of the writ petition, the Tamil Nadu Government issued G.O. (Ms) No. 31 dated 09.03.2024, which became the primary instrument relied upon by the petitioner.</w:t>
      </w:r>
    </w:p>
    <w:p>
      <w:pPr>
        <w:pStyle w:val="Heading2"/>
        <w:pBdr>
          <w:bottom w:val="single" w:sz="4" w:space="4" w:color="AACCEE"/>
        </w:pBdr>
        <w:spacing w:before="300" w:after="120"/>
        <w:rPr/>
      </w:pPr>
      <w:r>
        <w:rPr>
          <w:rFonts w:eastAsia="Arial" w:cs="Arial" w:ascii="Arial" w:hAnsi="Arial"/>
          <w:b/>
          <w:bCs/>
          <w:color w:val="0B1F38"/>
          <w:sz w:val="30"/>
          <w:szCs w:val="30"/>
        </w:rPr>
        <w:t>The Tamil Nadu Government Order G.O. (Ms) No. 31 of 2024</w:t>
      </w:r>
    </w:p>
    <w:p>
      <w:pPr>
        <w:pStyle w:val="Heading3"/>
        <w:spacing w:before="220" w:after="80"/>
        <w:rPr/>
      </w:pPr>
      <w:r>
        <w:rPr>
          <w:rFonts w:eastAsia="Arial" w:cs="Arial" w:ascii="Arial" w:hAnsi="Arial"/>
          <w:b/>
          <w:bCs/>
          <w:color w:val="1A4B7C"/>
          <w:sz w:val="24"/>
          <w:szCs w:val="24"/>
        </w:rPr>
        <w:t>What the GO Provided</w:t>
      </w:r>
    </w:p>
    <w:p>
      <w:pPr>
        <w:pStyle w:val="Normal"/>
        <w:spacing w:before="120" w:after="120"/>
        <w:jc w:val="both"/>
        <w:rPr/>
      </w:pPr>
      <w:r>
        <w:rPr>
          <w:rFonts w:eastAsia="Georgia" w:cs="Georgia"/>
          <w:sz w:val="22"/>
          <w:szCs w:val="22"/>
        </w:rPr>
        <w:t>G.O. (Ms) No. 31 dated 09 March 2024 was issued by the Backward Classes, Most Backward Classes and Minorities Welfare Department of the Tamil Nadu Government, following a recommendation by the Tamil Nadu Backward Classes Commission. The GO provided that:</w:t>
      </w:r>
    </w:p>
    <w:p>
      <w:pPr>
        <w:pStyle w:val="ListParagraph"/>
        <w:numPr>
          <w:ilvl w:val="0"/>
          <w:numId w:val="3"/>
        </w:numPr>
        <w:spacing w:before="60" w:after="60"/>
        <w:rPr/>
      </w:pPr>
      <w:r>
        <w:rPr>
          <w:rFonts w:eastAsia="Georgia" w:cs="Georgia"/>
          <w:sz w:val="22"/>
          <w:szCs w:val="22"/>
        </w:rPr>
        <w:t>Persons who were born into Backward Class (BC), Most Backward Class (MBC), Denotified Community (DNC), or Scheduled Caste (SC) communities AND who subsequently converted to Islam would be treated as Backward Class Muslims.</w:t>
      </w:r>
    </w:p>
    <w:p>
      <w:pPr>
        <w:pStyle w:val="ListParagraph"/>
        <w:numPr>
          <w:ilvl w:val="0"/>
          <w:numId w:val="1"/>
        </w:numPr>
        <w:spacing w:before="60" w:after="60"/>
        <w:rPr/>
      </w:pPr>
      <w:r>
        <w:rPr>
          <w:rFonts w:eastAsia="Georgia" w:cs="Georgia"/>
          <w:sz w:val="22"/>
          <w:szCs w:val="22"/>
        </w:rPr>
        <w:t>Such converts would be eligible to receive community certificates identifying them as belonging to any one of the seven notified Backward Class Muslim sects in Tamil Nadu including Muslim Lebbai, Rowther, Marakkayar, Deccani Muslim, etc.</w:t>
      </w:r>
    </w:p>
    <w:p>
      <w:pPr>
        <w:pStyle w:val="ListParagraph"/>
        <w:numPr>
          <w:ilvl w:val="0"/>
          <w:numId w:val="1"/>
        </w:numPr>
        <w:spacing w:before="60" w:after="60"/>
        <w:rPr/>
      </w:pPr>
      <w:r>
        <w:rPr>
          <w:rFonts w:eastAsia="Georgia" w:cs="Georgia"/>
          <w:sz w:val="22"/>
          <w:szCs w:val="22"/>
        </w:rPr>
        <w:t>The stated rationale was to ensure continuity of reservation benefits for persons who had already enjoyed such benefits before their conversion to Islam.</w:t>
      </w:r>
    </w:p>
    <w:p>
      <w:pPr>
        <w:pStyle w:val="Heading3"/>
        <w:spacing w:before="220" w:after="80"/>
        <w:rPr/>
      </w:pPr>
      <w:r>
        <w:rPr>
          <w:rFonts w:eastAsia="Arial" w:cs="Arial" w:ascii="Arial" w:hAnsi="Arial"/>
          <w:b/>
          <w:bCs/>
          <w:color w:val="1A4B7C"/>
          <w:sz w:val="24"/>
          <w:szCs w:val="24"/>
        </w:rPr>
        <w:t>The State's Defence</w:t>
      </w:r>
    </w:p>
    <w:p>
      <w:pPr>
        <w:pStyle w:val="Normal"/>
        <w:spacing w:before="120" w:after="120"/>
        <w:jc w:val="both"/>
        <w:rPr/>
      </w:pPr>
      <w:r>
        <w:rPr>
          <w:rFonts w:eastAsia="Georgia" w:cs="Georgia"/>
          <w:sz w:val="22"/>
          <w:szCs w:val="22"/>
        </w:rPr>
        <w:t>The State of Tamil Nadu defended the GO, arguing that:</w:t>
      </w:r>
    </w:p>
    <w:p>
      <w:pPr>
        <w:pStyle w:val="ListParagraph"/>
        <w:numPr>
          <w:ilvl w:val="0"/>
          <w:numId w:val="1"/>
        </w:numPr>
        <w:spacing w:before="60" w:after="60"/>
        <w:rPr/>
      </w:pPr>
      <w:r>
        <w:rPr>
          <w:rFonts w:eastAsia="Georgia" w:cs="Georgia"/>
          <w:sz w:val="22"/>
          <w:szCs w:val="22"/>
        </w:rPr>
        <w:t>The GO was based on a recommendation of the Tamil Nadu Backward Classes Commission, a statutory body.</w:t>
      </w:r>
    </w:p>
    <w:p>
      <w:pPr>
        <w:pStyle w:val="ListParagraph"/>
        <w:numPr>
          <w:ilvl w:val="0"/>
          <w:numId w:val="1"/>
        </w:numPr>
        <w:spacing w:before="60" w:after="60"/>
        <w:rPr/>
      </w:pPr>
      <w:r>
        <w:rPr>
          <w:rFonts w:eastAsia="Georgia" w:cs="Georgia"/>
          <w:sz w:val="22"/>
          <w:szCs w:val="22"/>
        </w:rPr>
        <w:t>The purpose was to ensure that persons who were already entitled to reservation benefits before conversion did not lose those benefits merely because they changed their religion.</w:t>
      </w:r>
    </w:p>
    <w:p>
      <w:pPr>
        <w:pStyle w:val="ListParagraph"/>
        <w:numPr>
          <w:ilvl w:val="0"/>
          <w:numId w:val="1"/>
        </w:numPr>
        <w:spacing w:before="60" w:after="60"/>
        <w:rPr/>
      </w:pPr>
      <w:r>
        <w:rPr>
          <w:rFonts w:eastAsia="Georgia" w:cs="Georgia"/>
          <w:sz w:val="22"/>
          <w:szCs w:val="22"/>
        </w:rPr>
        <w:t>The GO only applied to persons who were previously in reserved categories it did not extend reservation to persons who had no prior entitlement.</w:t>
      </w:r>
    </w:p>
    <w:p>
      <w:pPr>
        <w:pStyle w:val="Heading2"/>
        <w:pBdr>
          <w:bottom w:val="single" w:sz="4" w:space="4" w:color="AACCEE"/>
        </w:pBdr>
        <w:spacing w:before="300" w:after="120"/>
        <w:rPr/>
      </w:pPr>
      <w:r>
        <w:rPr>
          <w:rFonts w:eastAsia="Arial" w:cs="Arial" w:ascii="Arial" w:hAnsi="Arial"/>
          <w:b/>
          <w:bCs/>
          <w:color w:val="0B1F38"/>
          <w:sz w:val="30"/>
          <w:szCs w:val="30"/>
        </w:rPr>
        <w:t>The Court's Analysis Five Grounds of Unconstitutionality</w:t>
      </w:r>
    </w:p>
    <w:p>
      <w:pPr>
        <w:pStyle w:val="Heading3"/>
        <w:spacing w:before="220" w:after="80"/>
        <w:rPr/>
      </w:pPr>
      <w:r>
        <w:rPr>
          <w:rFonts w:eastAsia="Arial" w:cs="Arial" w:ascii="Arial" w:hAnsi="Arial"/>
          <w:b/>
          <w:bCs/>
          <w:color w:val="1A4B7C"/>
          <w:sz w:val="24"/>
          <w:szCs w:val="24"/>
        </w:rPr>
        <w:t>Ground 1 Executive Cannot Override Binding Judicial Precedent</w:t>
      </w:r>
    </w:p>
    <w:p>
      <w:pPr>
        <w:pStyle w:val="Normal"/>
        <w:spacing w:before="120" w:after="120"/>
        <w:jc w:val="both"/>
        <w:rPr/>
      </w:pPr>
      <w:r>
        <w:rPr>
          <w:rFonts w:eastAsia="Georgia" w:cs="Georgia"/>
          <w:sz w:val="22"/>
          <w:szCs w:val="22"/>
        </w:rPr>
        <w:t>The Court's first and most fundamental finding was that the GO was issued to circumvent a binding line of judicial authority which the executive has no constitutional power to do. The Court referred to the foundational principle that the executive derives its authority from law and must act within the bounds set by judicial interpretation of the Constitution.</w:t>
      </w:r>
    </w:p>
    <w:p>
      <w:pPr>
        <w:pStyle w:val="Normal"/>
        <w:pBdr>
          <w:left w:val="single" w:sz="10" w:space="14" w:color="2980B9"/>
        </w:pBdr>
        <w:shd w:val="clear" w:fill="EAF4FC"/>
        <w:spacing w:before="100" w:after="100"/>
        <w:ind w:start="800"/>
        <w:rPr/>
      </w:pPr>
      <w:r>
        <w:rPr>
          <w:rFonts w:eastAsia="Georgia" w:cs="Georgia"/>
          <w:i/>
          <w:iCs/>
          <w:color w:val="2C3E50"/>
          <w:sz w:val="21"/>
          <w:szCs w:val="21"/>
        </w:rPr>
        <w:t>The Court held: 'When the proposition laid down by the Hon'ble Division Bench is holding the field, it cannot be undone by issuing a mere Government Order. The executive cannot override or dilute binding judicial decisions through a Government Order. Allowing the State to nullify judicial review in this manner would strike at the rule of law.'</w:t>
      </w:r>
    </w:p>
    <w:p>
      <w:pPr>
        <w:pStyle w:val="Normal"/>
        <w:spacing w:before="120" w:after="120"/>
        <w:jc w:val="both"/>
        <w:rPr/>
      </w:pPr>
      <w:r>
        <w:rPr>
          <w:rFonts w:eastAsia="Georgia" w:cs="Georgia"/>
          <w:sz w:val="22"/>
          <w:szCs w:val="22"/>
        </w:rPr>
        <w:t>The Court emphasised that the GO was issued precisely to circumvent judicial precedent which is an exercise of executive power in a constitutionally impermissible domain. Only Parliament or the State Legislature, by amending the relevant law, can override judicial interpretation. The executive acting alone cannot do so through an administrative order.</w:t>
      </w:r>
    </w:p>
    <w:p>
      <w:pPr>
        <w:pStyle w:val="Heading3"/>
        <w:spacing w:before="220" w:after="80"/>
        <w:rPr/>
      </w:pPr>
      <w:r>
        <w:rPr>
          <w:rFonts w:eastAsia="Arial" w:cs="Arial" w:ascii="Arial" w:hAnsi="Arial"/>
          <w:b/>
          <w:bCs/>
          <w:color w:val="1A4B7C"/>
          <w:sz w:val="24"/>
          <w:szCs w:val="24"/>
        </w:rPr>
        <w:t>Ground 2 The 1951 Division Bench Precedent G. Michael v. S. Venkateswaran</w:t>
      </w:r>
    </w:p>
    <w:p>
      <w:pPr>
        <w:pStyle w:val="Normal"/>
        <w:spacing w:before="120" w:after="120"/>
        <w:jc w:val="both"/>
        <w:rPr/>
      </w:pPr>
      <w:r>
        <w:rPr>
          <w:rFonts w:eastAsia="Georgia" w:cs="Georgia"/>
          <w:sz w:val="22"/>
          <w:szCs w:val="22"/>
        </w:rPr>
        <w:t>The cornerstone of the Court's reasoning was a 1951 Madras High Court Division Bench decision in G. Michael v. S. Venkateswaran (1952) 1 MLJ 239, which had held that when a Hindu converts to a non-Hindu religion, he becomes 'just a Mussalman' or 'just a Christian' and his place in the new religion's society is not determined by his previous caste or community in Hinduism.</w:t>
      </w:r>
    </w:p>
    <w:p>
      <w:pPr>
        <w:pStyle w:val="Normal"/>
        <w:spacing w:before="120" w:after="120"/>
        <w:jc w:val="both"/>
        <w:rPr/>
      </w:pPr>
      <w:r>
        <w:rPr>
          <w:rFonts w:eastAsia="Georgia" w:cs="Georgia"/>
          <w:sz w:val="22"/>
          <w:szCs w:val="22"/>
        </w:rPr>
        <w:t>The Court noted that this 1951 position had been approved and affirmed by the Supreme Court as recently as 2024 in C. Selvarani v. Special Secretary cum District Collector (2024) 16 SCC 537.</w:t>
      </w:r>
    </w:p>
    <w:p>
      <w:pPr>
        <w:pStyle w:val="Normal"/>
        <w:pBdr>
          <w:left w:val="single" w:sz="10" w:space="14" w:color="2980B9"/>
        </w:pBdr>
        <w:shd w:val="clear" w:fill="EAF4FC"/>
        <w:spacing w:before="100" w:after="100"/>
        <w:ind w:start="800"/>
        <w:rPr/>
      </w:pPr>
      <w:r>
        <w:rPr>
          <w:rFonts w:eastAsia="Georgia" w:cs="Georgia"/>
          <w:i/>
          <w:iCs/>
          <w:color w:val="2C3E50"/>
          <w:sz w:val="21"/>
          <w:szCs w:val="21"/>
        </w:rPr>
        <w:t>Quoting from G. Michael: 'When a Hindu converts to Islam, his previous caste identity is extinguished. He becomes a Muslim. His membership of any particular community within Islam which is determined by birth within Islam cannot be acquired through conversion. One is a Rowther or Marakkayar by birth alone.'</w:t>
      </w:r>
    </w:p>
    <w:p>
      <w:pPr>
        <w:pStyle w:val="Normal"/>
        <w:spacing w:before="120" w:after="120"/>
        <w:jc w:val="both"/>
        <w:rPr/>
      </w:pPr>
      <w:r>
        <w:rPr>
          <w:rFonts w:eastAsia="Georgia" w:cs="Georgia"/>
          <w:sz w:val="22"/>
          <w:szCs w:val="22"/>
        </w:rPr>
        <w:t>The Court observed that this 75-year-old precedent remained binding and had been repeatedly endorsed by the Supreme Court. The 2024 GO was a direct attempt by the Tamil Nadu executive to circumvent this judicial position, which the Court found constitutionally impermissible.</w:t>
      </w:r>
    </w:p>
    <w:p>
      <w:pPr>
        <w:pStyle w:val="Heading3"/>
        <w:spacing w:before="220" w:after="80"/>
        <w:rPr/>
      </w:pPr>
      <w:r>
        <w:rPr>
          <w:rFonts w:eastAsia="Arial" w:cs="Arial" w:ascii="Arial" w:hAnsi="Arial"/>
          <w:b/>
          <w:bCs/>
          <w:color w:val="1A4B7C"/>
          <w:sz w:val="24"/>
          <w:szCs w:val="24"/>
        </w:rPr>
        <w:t>Ground 3 Membership of Muslim Sects is Determined by Birth, Not Conversion</w:t>
      </w:r>
    </w:p>
    <w:p>
      <w:pPr>
        <w:pStyle w:val="Normal"/>
        <w:spacing w:before="120" w:after="120"/>
        <w:jc w:val="both"/>
        <w:rPr/>
      </w:pPr>
      <w:r>
        <w:rPr>
          <w:rFonts w:eastAsia="Georgia" w:cs="Georgia"/>
          <w:sz w:val="22"/>
          <w:szCs w:val="22"/>
        </w:rPr>
        <w:t>The Court made a crucial factual and legal finding: membership of the various Muslim communities or sects in India Rowther, Marakkayar, Muslim Lebbai, Deccani Muslim, etc. is determined exclusively by birth within that community. It is not possible to convert into a specific Muslim sect or community.</w:t>
      </w:r>
    </w:p>
    <w:p>
      <w:pPr>
        <w:pStyle w:val="Normal"/>
        <w:pBdr>
          <w:left w:val="single" w:sz="10" w:space="14" w:color="2980B9"/>
        </w:pBdr>
        <w:shd w:val="clear" w:fill="EAF4FC"/>
        <w:spacing w:before="100" w:after="100"/>
        <w:ind w:start="800"/>
        <w:rPr/>
      </w:pPr>
      <w:r>
        <w:rPr>
          <w:rFonts w:eastAsia="Georgia" w:cs="Georgia"/>
          <w:i/>
          <w:iCs/>
          <w:color w:val="2C3E50"/>
          <w:sz w:val="21"/>
          <w:szCs w:val="21"/>
        </w:rPr>
        <w:t>'One can even boldly remark that they (Muslim sects) are akin to caste in Hinduism. Just as caste is determined by birth, one is a Rowther or Marakkayar or Deccani Muslim by birth alone. It is ridiculous to suggest that one can be converted into a Rowther Muslim.' Justice GR Swaminathan</w:t>
      </w:r>
    </w:p>
    <w:p>
      <w:pPr>
        <w:pStyle w:val="Normal"/>
        <w:spacing w:before="120" w:after="120"/>
        <w:jc w:val="both"/>
        <w:rPr/>
      </w:pPr>
      <w:r>
        <w:rPr>
          <w:rFonts w:eastAsia="Georgia" w:cs="Georgia"/>
          <w:sz w:val="22"/>
          <w:szCs w:val="22"/>
        </w:rPr>
        <w:t>The Court found that the GO had created a legal fiction allowing a convert to Islam to be identified as belonging to a specific Muslim sect which had no basis in the sociological or theological reality of Islamic community organisation. The seven BC Muslim sects are communities into which one is born, not communities that one can join through conversion.</w:t>
      </w:r>
    </w:p>
    <w:p>
      <w:pPr>
        <w:pStyle w:val="Heading3"/>
        <w:spacing w:before="220" w:after="80"/>
        <w:rPr/>
      </w:pPr>
      <w:r>
        <w:rPr>
          <w:rFonts w:eastAsia="Arial" w:cs="Arial" w:ascii="Arial" w:hAnsi="Arial"/>
          <w:b/>
          <w:bCs/>
          <w:color w:val="1A4B7C"/>
          <w:sz w:val="24"/>
          <w:szCs w:val="24"/>
        </w:rPr>
        <w:t>Ground 4 The GO is Antithetical to Quranic Principles of Equality</w:t>
      </w:r>
    </w:p>
    <w:p>
      <w:pPr>
        <w:pStyle w:val="Normal"/>
        <w:spacing w:before="120" w:after="120"/>
        <w:jc w:val="both"/>
        <w:rPr/>
      </w:pPr>
      <w:r>
        <w:rPr>
          <w:rFonts w:eastAsia="Georgia" w:cs="Georgia"/>
          <w:sz w:val="22"/>
          <w:szCs w:val="22"/>
        </w:rPr>
        <w:t>In one of the most philosophically rich parts of the judgment, the Court held that the GO was not only unconstitutional under Indian law but was also theologically inconsistent with Islamic doctrine. Islam's core theological principle is the absolute equality of all believers before God there is no hierarchy of birth within Islam.</w:t>
      </w:r>
    </w:p>
    <w:p>
      <w:pPr>
        <w:pStyle w:val="Normal"/>
        <w:pBdr>
          <w:left w:val="single" w:sz="10" w:space="14" w:color="2980B9"/>
        </w:pBdr>
        <w:shd w:val="clear" w:fill="EAF4FC"/>
        <w:spacing w:before="100" w:after="100"/>
        <w:ind w:start="800"/>
        <w:rPr/>
      </w:pPr>
      <w:r>
        <w:rPr>
          <w:rFonts w:eastAsia="Georgia" w:cs="Georgia"/>
          <w:i/>
          <w:iCs/>
          <w:color w:val="2C3E50"/>
          <w:sz w:val="21"/>
          <w:szCs w:val="21"/>
        </w:rPr>
        <w:t>'The Christian missionaries as well as Islamic preachers harangued through decades and centuries that their religions offer social equality unlike Hinduism which has caste as its inherent feature. Having taken such a stand for effecting conversions, it is disingenuous to claim that there is hierarchy in Islam also. In our respectful view, categorising certain sects as Backward and the remaining as Forward is antithetical to Quranic injunctions. Islam seeks to establish an egalitarian society. Everyone is equal in the eye of God. There is no social hierarchy.' Madras High Court</w:t>
      </w:r>
    </w:p>
    <w:p>
      <w:pPr>
        <w:pStyle w:val="Normal"/>
        <w:spacing w:before="120" w:after="120"/>
        <w:jc w:val="both"/>
        <w:rPr/>
      </w:pPr>
      <w:r>
        <w:rPr>
          <w:rFonts w:eastAsia="Georgia" w:cs="Georgia"/>
          <w:sz w:val="22"/>
          <w:szCs w:val="22"/>
        </w:rPr>
        <w:t>The Court cited the Holy Quran's verse from Sura Hujurat 'O mankind, indeed We have created you from male and female and made you peoples and tribes that you may know one another. Indeed, the most noble of you in the sight of God is the most righteous of you' and the Prophet's farewell sermon, both of which emphasise the absolute equality of all Muslims regardless of race, tribe, or origin.</w:t>
      </w:r>
    </w:p>
    <w:p>
      <w:pPr>
        <w:pStyle w:val="Normal"/>
        <w:spacing w:before="120" w:after="120"/>
        <w:jc w:val="both"/>
        <w:rPr/>
      </w:pPr>
      <w:r>
        <w:rPr>
          <w:rFonts w:eastAsia="Georgia" w:cs="Georgia"/>
          <w:sz w:val="22"/>
          <w:szCs w:val="22"/>
        </w:rPr>
        <w:t>The Court found it 'disingenuous' for persons who had converted to Islam a religion that doctrinally rejects social hierarchy to then claim backward status within Islam for reservation purposes.</w:t>
      </w:r>
    </w:p>
    <w:p>
      <w:pPr>
        <w:pStyle w:val="Heading3"/>
        <w:spacing w:before="220" w:after="80"/>
        <w:rPr/>
      </w:pPr>
      <w:r>
        <w:rPr>
          <w:rFonts w:eastAsia="Arial" w:cs="Arial" w:ascii="Arial" w:hAnsi="Arial"/>
          <w:b/>
          <w:bCs/>
          <w:color w:val="1A4B7C"/>
          <w:sz w:val="24"/>
          <w:szCs w:val="24"/>
        </w:rPr>
        <w:t>Ground 5 Arbitrary Bunching of Different Constitutional Categories</w:t>
      </w:r>
    </w:p>
    <w:p>
      <w:pPr>
        <w:pStyle w:val="Normal"/>
        <w:spacing w:before="120" w:after="120"/>
        <w:jc w:val="both"/>
        <w:rPr/>
      </w:pPr>
      <w:r>
        <w:rPr>
          <w:rFonts w:eastAsia="Georgia" w:cs="Georgia"/>
          <w:sz w:val="22"/>
          <w:szCs w:val="22"/>
        </w:rPr>
        <w:t>The Court found an additional, independent ground of unconstitutionality: the GO arbitrarily grouped persons from BC, MBC, DNC, and SC categories into a single Backward Class Muslim category upon conversion. This was constitutionally impermissible because:</w:t>
      </w:r>
    </w:p>
    <w:p>
      <w:pPr>
        <w:pStyle w:val="ListParagraph"/>
        <w:numPr>
          <w:ilvl w:val="0"/>
          <w:numId w:val="1"/>
        </w:numPr>
        <w:spacing w:before="60" w:after="60"/>
        <w:rPr/>
      </w:pPr>
      <w:r>
        <w:rPr>
          <w:rFonts w:eastAsia="Georgia" w:cs="Georgia"/>
          <w:sz w:val="22"/>
          <w:szCs w:val="22"/>
        </w:rPr>
        <w:t>BC/OBC and SC are separate constitutional categories with distinct bases, separate reservation percentages, and different constitutional protections.</w:t>
      </w:r>
    </w:p>
    <w:p>
      <w:pPr>
        <w:pStyle w:val="ListParagraph"/>
        <w:numPr>
          <w:ilvl w:val="0"/>
          <w:numId w:val="1"/>
        </w:numPr>
        <w:spacing w:before="60" w:after="60"/>
        <w:rPr/>
      </w:pPr>
      <w:r>
        <w:rPr>
          <w:rFonts w:eastAsia="Georgia" w:cs="Georgia"/>
          <w:sz w:val="22"/>
          <w:szCs w:val="22"/>
        </w:rPr>
        <w:t>The Supreme Court has consistently held in a catena of decisions that OBCs and SCs cannot be treated as equivalent categories.</w:t>
      </w:r>
    </w:p>
    <w:p>
      <w:pPr>
        <w:pStyle w:val="ListParagraph"/>
        <w:numPr>
          <w:ilvl w:val="0"/>
          <w:numId w:val="1"/>
        </w:numPr>
        <w:spacing w:before="60" w:after="60"/>
        <w:rPr/>
      </w:pPr>
      <w:r>
        <w:rPr>
          <w:rFonts w:eastAsia="Georgia" w:cs="Georgia"/>
          <w:sz w:val="22"/>
          <w:szCs w:val="22"/>
        </w:rPr>
        <w:t>A Scheduled Caste person who is at the 'bottom-most rung of the social ladder' in the Court's words was being placed on par with a Backward Class person upon conversion to Islam.</w:t>
      </w:r>
    </w:p>
    <w:p>
      <w:pPr>
        <w:pStyle w:val="Normal"/>
        <w:pBdr>
          <w:left w:val="single" w:sz="10" w:space="14" w:color="2980B9"/>
        </w:pBdr>
        <w:shd w:val="clear" w:fill="EAF4FC"/>
        <w:spacing w:before="100" w:after="100"/>
        <w:ind w:start="800"/>
        <w:rPr/>
      </w:pPr>
      <w:r>
        <w:rPr>
          <w:rFonts w:eastAsia="Georgia" w:cs="Georgia"/>
          <w:i/>
          <w:iCs/>
          <w:color w:val="2C3E50"/>
          <w:sz w:val="21"/>
          <w:szCs w:val="21"/>
        </w:rPr>
        <w:t>'The sheer arbitrariness of the impugned G.O. becomes manifest for one more reason. The Backward Classes Commission's recommendation as well as G.O (Ms) No.31 dated 09.03.2024 provide for accommodating BC/MBC/DNC/SC convertees in any one of the 7 slots. In other words, a SC who is at the bottom-most rung of the social ladder is put on par with a BC. The Hon'ble Supreme Court in catena of decisions has held that OBCs and SCs form separate categories. Just for the sake of ensuring that the converts to Islam continue to enjoy some form of reservation benefit, such a bunching has been done by the State Government. This exposes the inherent flaw in the approach adopted by the Government.' Madras High Court</w:t>
      </w:r>
    </w:p>
    <w:p>
      <w:pPr>
        <w:pStyle w:val="Heading2"/>
        <w:pBdr>
          <w:bottom w:val="single" w:sz="4" w:space="4" w:color="AACCEE"/>
        </w:pBdr>
        <w:spacing w:before="300" w:after="120"/>
        <w:rPr/>
      </w:pPr>
      <w:r>
        <w:rPr>
          <w:rFonts w:eastAsia="Arial" w:cs="Arial" w:ascii="Arial" w:hAnsi="Arial"/>
          <w:b/>
          <w:bCs/>
          <w:color w:val="0B1F38"/>
          <w:sz w:val="30"/>
          <w:szCs w:val="30"/>
        </w:rPr>
        <w:t>Key Judgments Cited by the Court</w:t>
      </w:r>
    </w:p>
    <w:p>
      <w:pPr>
        <w:pStyle w:val="Heading3"/>
        <w:spacing w:before="220" w:after="80"/>
        <w:rPr/>
      </w:pPr>
      <w:r>
        <w:rPr>
          <w:rFonts w:eastAsia="Arial" w:cs="Arial" w:ascii="Arial" w:hAnsi="Arial"/>
          <w:b/>
          <w:bCs/>
          <w:color w:val="1A4B7C"/>
          <w:sz w:val="24"/>
          <w:szCs w:val="24"/>
        </w:rPr>
        <w:t>1. G. Michael v. S. Venkateswaran (1952) 1 MLJ 239 (Madras HC Division Bench, 1951)</w:t>
      </w:r>
    </w:p>
    <w:p>
      <w:pPr>
        <w:pStyle w:val="Normal"/>
        <w:spacing w:before="120" w:after="120"/>
        <w:jc w:val="both"/>
        <w:rPr/>
      </w:pPr>
      <w:r>
        <w:rPr>
          <w:rFonts w:eastAsia="Georgia" w:cs="Georgia"/>
          <w:sz w:val="22"/>
          <w:szCs w:val="22"/>
        </w:rPr>
        <w:t>The foundational precedent. Held that conversion to a non-Hindu religion extinguishes the convert's previous caste identity. The convert becomes simply a member of the new religion membership of any specific community within the new religion cannot be acquired through conversion and is determined by birth within that community.</w:t>
      </w:r>
    </w:p>
    <w:p>
      <w:pPr>
        <w:pStyle w:val="Heading3"/>
        <w:spacing w:before="220" w:after="80"/>
        <w:rPr/>
      </w:pPr>
      <w:r>
        <w:rPr>
          <w:rFonts w:eastAsia="Arial" w:cs="Arial" w:ascii="Arial" w:hAnsi="Arial"/>
          <w:b/>
          <w:bCs/>
          <w:color w:val="1A4B7C"/>
          <w:sz w:val="24"/>
          <w:szCs w:val="24"/>
        </w:rPr>
        <w:t>2. C. Selvarani v. Special Secretary cum District Collector (2024) 16 SCC 537 (Supreme Court)</w:t>
      </w:r>
    </w:p>
    <w:p>
      <w:pPr>
        <w:pStyle w:val="Normal"/>
        <w:spacing w:before="120" w:after="120"/>
        <w:jc w:val="both"/>
        <w:rPr/>
      </w:pPr>
      <w:r>
        <w:rPr>
          <w:rFonts w:eastAsia="Georgia" w:cs="Georgia"/>
          <w:sz w:val="22"/>
          <w:szCs w:val="22"/>
        </w:rPr>
        <w:t>The Supreme Court in 2024 approved and reaffirmed the position in G. Michael. This 2024 Supreme Court approval made the 1951 position directly binding on all courts and all executive authorities in India. The 2024 GO was issued after this Supreme Court endorsement making the GO's attempt to circumvent the precedent even more egregious.</w:t>
      </w:r>
    </w:p>
    <w:p>
      <w:pPr>
        <w:pStyle w:val="Heading3"/>
        <w:spacing w:before="220" w:after="80"/>
        <w:rPr/>
      </w:pPr>
      <w:r>
        <w:rPr>
          <w:rFonts w:eastAsia="Arial" w:cs="Arial" w:ascii="Arial" w:hAnsi="Arial"/>
          <w:b/>
          <w:bCs/>
          <w:color w:val="1A4B7C"/>
          <w:sz w:val="24"/>
          <w:szCs w:val="24"/>
        </w:rPr>
        <w:t>3. Cases on SC/OBC Separation</w:t>
      </w:r>
    </w:p>
    <w:p>
      <w:pPr>
        <w:pStyle w:val="Normal"/>
        <w:spacing w:before="120" w:after="120"/>
        <w:jc w:val="both"/>
        <w:rPr/>
      </w:pPr>
      <w:r>
        <w:rPr>
          <w:rFonts w:eastAsia="Georgia" w:cs="Georgia"/>
          <w:sz w:val="22"/>
          <w:szCs w:val="22"/>
        </w:rPr>
        <w:t>The Court relied on a catena of Supreme Court decisions holding that Scheduled Castes and OBCs/BCs form constitutionally separate categories and cannot be treated as equivalent or interchangeable for reservation purposes.</w:t>
      </w:r>
    </w:p>
    <w:p>
      <w:pPr>
        <w:pStyle w:val="Heading2"/>
        <w:pBdr>
          <w:bottom w:val="single" w:sz="4" w:space="4" w:color="AACCEE"/>
        </w:pBdr>
        <w:spacing w:before="300" w:after="120"/>
        <w:rPr/>
      </w:pPr>
      <w:r>
        <w:rPr>
          <w:rFonts w:eastAsia="Arial" w:cs="Arial" w:ascii="Arial" w:hAnsi="Arial"/>
          <w:b/>
          <w:bCs/>
          <w:color w:val="0B1F38"/>
          <w:sz w:val="30"/>
          <w:szCs w:val="30"/>
        </w:rPr>
        <w:t>The Operative Order What the Court Actually Decided</w:t>
      </w:r>
    </w:p>
    <w:p>
      <w:pPr>
        <w:pStyle w:val="Normal"/>
        <w:spacing w:before="120" w:after="120"/>
        <w:jc w:val="both"/>
        <w:rPr/>
      </w:pPr>
      <w:r>
        <w:rPr>
          <w:rFonts w:eastAsia="Georgia" w:cs="Georgia"/>
          <w:sz w:val="22"/>
          <w:szCs w:val="22"/>
        </w:rPr>
        <w:t>The Madurai Bench of the Madras High Court:</w:t>
      </w:r>
    </w:p>
    <w:p>
      <w:pPr>
        <w:pStyle w:val="ListParagraph"/>
        <w:numPr>
          <w:ilvl w:val="0"/>
          <w:numId w:val="1"/>
        </w:numPr>
        <w:spacing w:before="60" w:after="60"/>
        <w:rPr/>
      </w:pPr>
      <w:r>
        <w:rPr>
          <w:rFonts w:eastAsia="Georgia" w:cs="Georgia"/>
          <w:sz w:val="22"/>
          <w:szCs w:val="22"/>
        </w:rPr>
        <w:t>Declared G.O. (Ms) No. 31 dated 09.03.2024 issued by the Tamil Nadu Government as unconstitutional and invalid.</w:t>
      </w:r>
    </w:p>
    <w:p>
      <w:pPr>
        <w:pStyle w:val="ListParagraph"/>
        <w:numPr>
          <w:ilvl w:val="0"/>
          <w:numId w:val="1"/>
        </w:numPr>
        <w:spacing w:before="60" w:after="60"/>
        <w:rPr/>
      </w:pPr>
      <w:r>
        <w:rPr>
          <w:rFonts w:eastAsia="Georgia" w:cs="Georgia"/>
          <w:sz w:val="22"/>
          <w:szCs w:val="22"/>
        </w:rPr>
        <w:t>Upheld the Tahsildar's order rejecting the petitioner's application for a Muslim Lebbai community certificate.</w:t>
      </w:r>
    </w:p>
    <w:p>
      <w:pPr>
        <w:pStyle w:val="ListParagraph"/>
        <w:numPr>
          <w:ilvl w:val="0"/>
          <w:numId w:val="1"/>
        </w:numPr>
        <w:spacing w:before="60" w:after="60"/>
        <w:rPr/>
      </w:pPr>
      <w:r>
        <w:rPr>
          <w:rFonts w:eastAsia="Georgia" w:cs="Georgia"/>
          <w:sz w:val="22"/>
          <w:szCs w:val="22"/>
        </w:rPr>
        <w:t>Dismissed the writ petition WP(MD) No. 7127 of 2022 filed by Sameer Ahamed N.</w:t>
      </w:r>
    </w:p>
    <w:p>
      <w:pPr>
        <w:pStyle w:val="ListParagraph"/>
        <w:numPr>
          <w:ilvl w:val="0"/>
          <w:numId w:val="1"/>
        </w:numPr>
        <w:spacing w:before="60" w:after="60"/>
        <w:rPr/>
      </w:pPr>
      <w:r>
        <w:rPr>
          <w:rFonts w:eastAsia="Georgia" w:cs="Georgia"/>
          <w:sz w:val="22"/>
          <w:szCs w:val="22"/>
        </w:rPr>
        <w:t>Categorically held: 'A convert to Islam cannot claim the status of Backward Class Muslim. He is only a Muslim and that's all there is to it.'</w:t>
      </w:r>
    </w:p>
    <w:p>
      <w:pPr>
        <w:pStyle w:val="Heading2"/>
        <w:pBdr>
          <w:bottom w:val="single" w:sz="4" w:space="4" w:color="AACCEE"/>
        </w:pBdr>
        <w:spacing w:before="300" w:after="120"/>
        <w:rPr/>
      </w:pPr>
      <w:r>
        <w:rPr>
          <w:rFonts w:eastAsia="Arial" w:cs="Arial" w:ascii="Arial" w:hAnsi="Arial"/>
          <w:b/>
          <w:bCs/>
          <w:color w:val="0B1F38"/>
          <w:sz w:val="30"/>
          <w:szCs w:val="30"/>
        </w:rPr>
        <w:t>Practical Implications for Tamil Nadu</w:t>
      </w:r>
    </w:p>
    <w:p>
      <w:pPr>
        <w:pStyle w:val="Heading3"/>
        <w:spacing w:before="220" w:after="80"/>
        <w:rPr/>
      </w:pPr>
      <w:r>
        <w:rPr>
          <w:rFonts w:eastAsia="Arial" w:cs="Arial" w:ascii="Arial" w:hAnsi="Arial"/>
          <w:b/>
          <w:bCs/>
          <w:color w:val="1A4B7C"/>
          <w:sz w:val="24"/>
          <w:szCs w:val="24"/>
        </w:rPr>
        <w:t>1. Immediate Effect on BC Muslim Community Certificates</w:t>
      </w:r>
    </w:p>
    <w:p>
      <w:pPr>
        <w:pStyle w:val="Normal"/>
        <w:spacing w:before="120" w:after="120"/>
        <w:jc w:val="both"/>
        <w:rPr/>
      </w:pPr>
      <w:r>
        <w:rPr>
          <w:rFonts w:eastAsia="Georgia" w:cs="Georgia"/>
          <w:sz w:val="22"/>
          <w:szCs w:val="22"/>
        </w:rPr>
        <w:t>All community certificates issued to religious converts under G.O. (Ms) No. 31 of 2024 are now based on an order declared unconstitutional. Holders of such certificates and the institutions and authorities that accepted them face significant legal uncertainty. Advocates advising clients holding such certificates must immediately assess the implications for their clients' reservations, admissions, employment, and other benefits obtained on the basis of these certificates.</w:t>
      </w:r>
    </w:p>
    <w:p>
      <w:pPr>
        <w:pStyle w:val="Heading3"/>
        <w:spacing w:before="220" w:after="80"/>
        <w:rPr/>
      </w:pPr>
      <w:r>
        <w:rPr>
          <w:rFonts w:eastAsia="Arial" w:cs="Arial" w:ascii="Arial" w:hAnsi="Arial"/>
          <w:b/>
          <w:bCs/>
          <w:color w:val="1A4B7C"/>
          <w:sz w:val="24"/>
          <w:szCs w:val="24"/>
        </w:rPr>
        <w:t>2. Effect on Pending Applications</w:t>
      </w:r>
    </w:p>
    <w:p>
      <w:pPr>
        <w:pStyle w:val="Normal"/>
        <w:spacing w:before="120" w:after="120"/>
        <w:jc w:val="both"/>
        <w:rPr/>
      </w:pPr>
      <w:r>
        <w:rPr>
          <w:rFonts w:eastAsia="Georgia" w:cs="Georgia"/>
          <w:sz w:val="22"/>
          <w:szCs w:val="22"/>
        </w:rPr>
        <w:t>Any pending application for a community certificate as BC Muslim based on conversion from a reserved community should now be rejected by Tahsildars in light of this judgment. The legal basis for such applications G.O. No. 31/2024 has been struck down.</w:t>
      </w:r>
    </w:p>
    <w:p>
      <w:pPr>
        <w:pStyle w:val="Heading3"/>
        <w:spacing w:before="220" w:after="80"/>
        <w:rPr/>
      </w:pPr>
      <w:r>
        <w:rPr>
          <w:rFonts w:eastAsia="Arial" w:cs="Arial" w:ascii="Arial" w:hAnsi="Arial"/>
          <w:b/>
          <w:bCs/>
          <w:color w:val="1A4B7C"/>
          <w:sz w:val="24"/>
          <w:szCs w:val="24"/>
        </w:rPr>
        <w:t>3. Effect on Admissions and Employment</w:t>
      </w:r>
    </w:p>
    <w:p>
      <w:pPr>
        <w:pStyle w:val="Normal"/>
        <w:spacing w:before="120" w:after="120"/>
        <w:jc w:val="both"/>
        <w:rPr/>
      </w:pPr>
      <w:r>
        <w:rPr>
          <w:rFonts w:eastAsia="Georgia" w:cs="Georgia"/>
          <w:sz w:val="22"/>
          <w:szCs w:val="22"/>
        </w:rPr>
        <w:t>If persons obtained admission to educational institutions or government employment as BC Muslim converts under G.O. No. 31/2024, those admissions and appointments may now be challenged. The admissions/appointments were based on an unconstitutional order. Litigants challenging such benefits will have strong legal footing.</w:t>
      </w:r>
    </w:p>
    <w:p>
      <w:pPr>
        <w:pStyle w:val="Heading3"/>
        <w:spacing w:before="220" w:after="80"/>
        <w:rPr/>
      </w:pPr>
      <w:r>
        <w:rPr>
          <w:rFonts w:eastAsia="Arial" w:cs="Arial" w:ascii="Arial" w:hAnsi="Arial"/>
          <w:b/>
          <w:bCs/>
          <w:color w:val="1A4B7C"/>
          <w:sz w:val="24"/>
          <w:szCs w:val="24"/>
        </w:rPr>
        <w:t>4. Tamil Nadu Government's Options</w:t>
      </w:r>
    </w:p>
    <w:p>
      <w:pPr>
        <w:pStyle w:val="Normal"/>
        <w:spacing w:before="120" w:after="120"/>
        <w:jc w:val="both"/>
        <w:rPr/>
      </w:pPr>
      <w:r>
        <w:rPr>
          <w:rFonts w:eastAsia="Georgia" w:cs="Georgia"/>
          <w:sz w:val="22"/>
          <w:szCs w:val="22"/>
        </w:rPr>
        <w:t>The Tamil Nadu Government can appeal this Division Bench judgment to a Full Bench of the Madras High Court or to the Supreme Court of India. As a Division Bench decision, it is binding within the Madras High Court's jurisdiction unless stayed or overruled by a higher court. The Government may also seek to legislatively address the issue through a State law though the constitutional limitations identified by the Court would apply to such legislation as well.</w:t>
      </w:r>
    </w:p>
    <w:p>
      <w:pPr>
        <w:pStyle w:val="Heading2"/>
        <w:pBdr>
          <w:bottom w:val="single" w:sz="4" w:space="4" w:color="AACCEE"/>
        </w:pBdr>
        <w:spacing w:before="300" w:after="120"/>
        <w:rPr/>
      </w:pPr>
      <w:r>
        <w:rPr>
          <w:rFonts w:eastAsia="Arial" w:cs="Arial" w:ascii="Arial" w:hAnsi="Arial"/>
          <w:b/>
          <w:bCs/>
          <w:color w:val="0B1F38"/>
          <w:sz w:val="30"/>
          <w:szCs w:val="30"/>
        </w:rPr>
        <w:t>Critical Analysis Significance for Reservation Jurisprudence</w:t>
      </w:r>
    </w:p>
    <w:p>
      <w:pPr>
        <w:pStyle w:val="Heading3"/>
        <w:spacing w:before="220" w:after="80"/>
        <w:rPr/>
      </w:pPr>
      <w:r>
        <w:rPr>
          <w:rFonts w:eastAsia="Arial" w:cs="Arial" w:ascii="Arial" w:hAnsi="Arial"/>
          <w:b/>
          <w:bCs/>
          <w:color w:val="1A4B7C"/>
          <w:sz w:val="24"/>
          <w:szCs w:val="24"/>
        </w:rPr>
        <w:t>The Separation of Religion and Reservation Category</w:t>
      </w:r>
    </w:p>
    <w:p>
      <w:pPr>
        <w:pStyle w:val="Normal"/>
        <w:spacing w:before="120" w:after="120"/>
        <w:jc w:val="both"/>
        <w:rPr/>
      </w:pPr>
      <w:r>
        <w:rPr>
          <w:rFonts w:eastAsia="Georgia" w:cs="Georgia"/>
          <w:sz w:val="22"/>
          <w:szCs w:val="22"/>
        </w:rPr>
        <w:t>This judgment powerfully reaffirms the principle that reservation categories in India particularly BC/OBC and SC are social and historical categories that cannot be transferred or inherited through religious conversion. The social backwardness that qualifies a community for reservation is a product of centuries of specific social conditions it is not a personal attribute that moves with an individual when they change religion.</w:t>
      </w:r>
    </w:p>
    <w:p>
      <w:pPr>
        <w:pStyle w:val="Heading3"/>
        <w:spacing w:before="220" w:after="80"/>
        <w:rPr/>
      </w:pPr>
      <w:r>
        <w:rPr>
          <w:rFonts w:eastAsia="Arial" w:cs="Arial" w:ascii="Arial" w:hAnsi="Arial"/>
          <w:b/>
          <w:bCs/>
          <w:color w:val="1A4B7C"/>
          <w:sz w:val="24"/>
          <w:szCs w:val="24"/>
        </w:rPr>
        <w:t>The Theological Dimension</w:t>
      </w:r>
    </w:p>
    <w:p>
      <w:pPr>
        <w:pStyle w:val="Normal"/>
        <w:spacing w:before="120" w:after="120"/>
        <w:jc w:val="both"/>
        <w:rPr/>
      </w:pPr>
      <w:r>
        <w:rPr>
          <w:rFonts w:eastAsia="Georgia" w:cs="Georgia"/>
          <w:sz w:val="22"/>
          <w:szCs w:val="22"/>
        </w:rPr>
        <w:t>The Court's observation that the GO was 'un-Islamic' as well as unconstitutional adds an unusual but philosophically significant dimension to the judgment. By invoking the Quran and the Prophet's farewell sermon on equality, the Court pointed out the internal contradiction in claiming BC status within Islam a religion doctrinally committed to the equality of all believers.</w:t>
      </w:r>
    </w:p>
    <w:p>
      <w:pPr>
        <w:pStyle w:val="Heading3"/>
        <w:spacing w:before="220" w:after="80"/>
        <w:rPr/>
      </w:pPr>
      <w:r>
        <w:rPr>
          <w:rFonts w:eastAsia="Arial" w:cs="Arial" w:ascii="Arial" w:hAnsi="Arial"/>
          <w:b/>
          <w:bCs/>
          <w:color w:val="1A4B7C"/>
          <w:sz w:val="24"/>
          <w:szCs w:val="24"/>
        </w:rPr>
        <w:t>The Rule of Law Dimension</w:t>
      </w:r>
    </w:p>
    <w:p>
      <w:pPr>
        <w:pStyle w:val="Normal"/>
        <w:spacing w:before="120" w:after="120"/>
        <w:jc w:val="both"/>
        <w:rPr/>
      </w:pPr>
      <w:r>
        <w:rPr>
          <w:rFonts w:eastAsia="Georgia" w:cs="Georgia"/>
          <w:sz w:val="22"/>
          <w:szCs w:val="22"/>
        </w:rPr>
        <w:t>Perhaps the most broadly significant holding is the Court's affirmation that the executive cannot override binding judicial precedents through Government Orders. This principle that judicial interpretation of the Constitution cannot be nullified by executive action is fundamental to the separation of powers and the rule of law.</w:t>
      </w:r>
    </w:p>
    <w:p>
      <w:pPr>
        <w:pStyle w:val="Heading2"/>
        <w:pBdr>
          <w:bottom w:val="single" w:sz="4" w:space="4" w:color="AACCEE"/>
        </w:pBdr>
        <w:spacing w:before="300" w:after="120"/>
        <w:rPr/>
      </w:pPr>
      <w:r>
        <w:rPr>
          <w:rFonts w:eastAsia="Arial" w:cs="Arial" w:ascii="Arial" w:hAnsi="Arial"/>
          <w:b/>
          <w:bCs/>
          <w:color w:val="0B1F38"/>
          <w:sz w:val="30"/>
          <w:szCs w:val="30"/>
        </w:rPr>
        <w:t>What Advocates Practicing in Tamil Nadu Must Know</w:t>
      </w:r>
    </w:p>
    <w:p>
      <w:pPr>
        <w:pStyle w:val="ListParagraph"/>
        <w:numPr>
          <w:ilvl w:val="0"/>
          <w:numId w:val="1"/>
        </w:numPr>
        <w:spacing w:before="60" w:after="60"/>
        <w:rPr/>
      </w:pPr>
      <w:r>
        <w:rPr>
          <w:rFonts w:eastAsia="Georgia" w:cs="Georgia"/>
          <w:sz w:val="22"/>
          <w:szCs w:val="22"/>
        </w:rPr>
        <w:t>G.O. (Ms) No. 31 dated 09.03.2024 has been declared unconstitutional do not rely on it in any pending or future proceeding.</w:t>
      </w:r>
    </w:p>
    <w:p>
      <w:pPr>
        <w:pStyle w:val="ListParagraph"/>
        <w:numPr>
          <w:ilvl w:val="0"/>
          <w:numId w:val="1"/>
        </w:numPr>
        <w:spacing w:before="60" w:after="60"/>
        <w:rPr/>
      </w:pPr>
      <w:r>
        <w:rPr>
          <w:rFonts w:eastAsia="Georgia" w:cs="Georgia"/>
          <w:sz w:val="22"/>
          <w:szCs w:val="22"/>
        </w:rPr>
        <w:t>Community certificates issued under this GO to religious converts should be reviewed for legal validity.</w:t>
      </w:r>
    </w:p>
    <w:p>
      <w:pPr>
        <w:pStyle w:val="ListParagraph"/>
        <w:numPr>
          <w:ilvl w:val="0"/>
          <w:numId w:val="1"/>
        </w:numPr>
        <w:spacing w:before="60" w:after="60"/>
        <w:rPr/>
      </w:pPr>
      <w:r>
        <w:rPr>
          <w:rFonts w:eastAsia="Georgia" w:cs="Georgia"/>
          <w:sz w:val="22"/>
          <w:szCs w:val="22"/>
        </w:rPr>
        <w:t>The 1951 G. Michael position now affirmed by the Supreme Court in 2024 and reaffirmed by this 2026 Madras HC judgment is that conversion to Islam does not entitle a person to claim membership of any specific Muslim community or sect.</w:t>
      </w:r>
    </w:p>
    <w:p>
      <w:pPr>
        <w:pStyle w:val="ListParagraph"/>
        <w:numPr>
          <w:ilvl w:val="0"/>
          <w:numId w:val="1"/>
        </w:numPr>
        <w:spacing w:before="60" w:after="60"/>
        <w:rPr/>
      </w:pPr>
      <w:r>
        <w:rPr>
          <w:rFonts w:eastAsia="Georgia" w:cs="Georgia"/>
          <w:sz w:val="22"/>
          <w:szCs w:val="22"/>
        </w:rPr>
        <w:t>The judgment is currently a Division Bench decision of the Madras High Court it can be challenged before a Full Bench or the Supreme Court. Monitor for any stay or appeal.</w:t>
      </w:r>
    </w:p>
    <w:p>
      <w:pPr>
        <w:pStyle w:val="ListParagraph"/>
        <w:numPr>
          <w:ilvl w:val="0"/>
          <w:numId w:val="1"/>
        </w:numPr>
        <w:spacing w:before="60" w:after="60"/>
        <w:rPr/>
      </w:pPr>
      <w:r>
        <w:rPr>
          <w:rFonts w:eastAsia="Georgia" w:cs="Georgia"/>
          <w:sz w:val="22"/>
          <w:szCs w:val="22"/>
        </w:rPr>
        <w:t>In any matter involving BC Muslim community certificates of religious converts, cite this judgment immediately.</w:t>
      </w:r>
    </w:p>
    <w:p>
      <w:pPr>
        <w:pStyle w:val="ListParagraph"/>
        <w:numPr>
          <w:ilvl w:val="0"/>
          <w:numId w:val="1"/>
        </w:numPr>
        <w:spacing w:before="60" w:after="60"/>
        <w:rPr/>
      </w:pPr>
      <w:r>
        <w:rPr>
          <w:rFonts w:eastAsia="Georgia" w:cs="Georgia"/>
          <w:sz w:val="22"/>
          <w:szCs w:val="22"/>
        </w:rPr>
        <w:t>This judgment is relevant not just for BC Muslim reservation but for the broader principle that religious conversion does not automatically transfer reservation category status.</w:t>
      </w:r>
    </w:p>
    <w:p>
      <w:pPr>
        <w:pStyle w:val="Heading2"/>
        <w:pBdr>
          <w:bottom w:val="single" w:sz="4" w:space="4" w:color="AACCEE"/>
        </w:pBdr>
        <w:spacing w:before="300" w:after="120"/>
        <w:rPr/>
      </w:pPr>
      <w:r>
        <w:rPr>
          <w:rFonts w:eastAsia="Arial" w:cs="Arial" w:ascii="Arial" w:hAnsi="Arial"/>
          <w:b/>
          <w:bCs/>
          <w:color w:val="0B1F38"/>
          <w:sz w:val="30"/>
          <w:szCs w:val="30"/>
        </w:rPr>
        <w:t>Conclusion 'A Convert to Islam is Only a Muslim. That is All.'</w:t>
      </w:r>
    </w:p>
    <w:p>
      <w:pPr>
        <w:pStyle w:val="Normal"/>
        <w:spacing w:before="120" w:after="120"/>
        <w:jc w:val="both"/>
        <w:rPr/>
      </w:pPr>
      <w:r>
        <w:rPr>
          <w:rFonts w:eastAsia="Georgia" w:cs="Georgia"/>
          <w:sz w:val="22"/>
          <w:szCs w:val="22"/>
        </w:rPr>
        <w:t>The Madurai Bench of the Madras High Court has delivered a judgment of profound constitutional significance. In clear, unambiguous terms, it has held that a person who converts to Islam becomes simply a Muslim not a member of any specific Muslim sect or community, and certainly not a Backward Class Muslim entitled to reservation benefits reserved for communities within Islam that have historically occupied a lower social position.</w:t>
      </w:r>
    </w:p>
    <w:p>
      <w:pPr>
        <w:pStyle w:val="Normal"/>
        <w:spacing w:before="120" w:after="120"/>
        <w:jc w:val="both"/>
        <w:rPr/>
      </w:pPr>
      <w:r>
        <w:rPr>
          <w:rFonts w:eastAsia="Georgia" w:cs="Georgia"/>
          <w:sz w:val="22"/>
          <w:szCs w:val="22"/>
        </w:rPr>
        <w:t>The judgment is grounded in three pillars: settled judicial precedent going back to 1951 and approved by the Supreme Court in 2024; the constitutional principle that the executive cannot override judicial decisions through Government Orders; and the fundamental Islamic theological principle of the equality of all believers. The GO that sought to extend reservation benefits to religious converts was found deficient on all three counts making this one of the most comprehensive reservation law judgments from the Madras High Court in recent years.</w:t>
      </w:r>
    </w:p>
    <w:p>
      <w:pPr>
        <w:pStyle w:val="Normal"/>
        <w:spacing w:before="120" w:after="120"/>
        <w:jc w:val="both"/>
        <w:rPr/>
      </w:pPr>
      <w:r>
        <w:rPr>
          <w:rFonts w:eastAsia="Georgia" w:cs="Georgia"/>
          <w:sz w:val="22"/>
          <w:szCs w:val="22"/>
        </w:rPr>
        <w:t>For advocates practising reservation law, constitutional law, and administrative law in Tamil Nadu, this judgment is essential reading. For clients who hold community certificates issued under the struck-down GO, immediate legal advice is strongly recommended.</w:t>
      </w:r>
    </w:p>
    <w:p>
      <w:pPr>
        <w:pStyle w:val="Normal"/>
        <w:spacing w:before="120" w:after="120"/>
        <w:jc w:val="both"/>
        <w:rPr/>
      </w:pPr>
      <w:r>
        <w:rPr>
          <w:rFonts w:eastAsia="Georgia" w:cs="Georgia"/>
          <w:sz w:val="22"/>
          <w:szCs w:val="22"/>
        </w:rPr>
        <w:t>For complete legal guidance on reservation law, community certificates, and constitutional rights in Tamil Nadu, consult Advocate Karthik V at lawhubb.in. Phone: +91 96291 94024.</w:t>
      </w:r>
    </w:p>
    <w:p>
      <w:pPr>
        <w:pStyle w:val="Normal"/>
        <w:pBdr>
          <w:bottom w:val="single" w:sz="6" w:space="2" w:color="D5D8DC"/>
        </w:pBdr>
        <w:spacing w:before="220" w:after="220"/>
        <w:rPr/>
      </w:pPr>
      <w:r>
        <w:rPr/>
      </w:r>
    </w:p>
    <w:sectPr>
      <w:type w:val="nextPage"/>
      <w:pgSz w:w="12240" w:h="15840"/>
      <w:pgMar w:left="1080" w:right="1080" w:gutter="0" w:header="0" w:top="1080" w:footer="0" w:bottom="108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Georgia">
    <w:charset w:val="01" w:characterSet="utf-8"/>
    <w:family w:val="roman"/>
    <w:pitch w:val="variable"/>
  </w:font>
  <w:font w:name="Arial">
    <w:charset w:val="01" w:characterSet="utf-8"/>
    <w:family w:val="swiss"/>
    <w:pitch w:val="variable"/>
  </w:font>
  <w:font w:name="Liberation Sans">
    <w:altName w:val="Arial"/>
    <w:charset w:val="01" w:characterSet="utf-8"/>
    <w:family w:val="swiss"/>
    <w:pitch w:val="variable"/>
  </w:font>
  <w:font w:name="Arial">
    <w:charset w:val="01" w:characterSet="utf-8"/>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1"/>
    <w:lvlOverride w:ilvl="0">
      <w:startOverride w:val="1"/>
    </w:lvlOverride>
  </w:num>
</w:numbering>
</file>

<file path=word/settings.xml><?xml version="1.0" encoding="utf-8"?>
<w:settings xmlns:w="http://schemas.openxmlformats.org/wordprocessingml/2006/main">
  <w:zoom w:percent="60"/>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Georgia" w:hAnsi="Georgia" w:eastAsia="Georgia" w:cs="Georgia"/>
        <w:sz w:val="22"/>
        <w:szCs w:val="22"/>
        <w:lang w:val="en-IN" w:eastAsia="zh-CN" w:bidi="hi-IN"/>
      </w:rPr>
    </w:rPrDefault>
    <w:pPrDefault>
      <w:pPr>
        <w:suppressAutoHyphens w:val="true"/>
      </w:pPr>
    </w:pPrDefault>
  </w:docDefaults>
  <w:style w:type="paragraph" w:styleId="Normal">
    <w:name w:val="Normal"/>
    <w:qFormat/>
    <w:pPr>
      <w:widowControl/>
      <w:bidi w:val="0"/>
      <w:spacing w:before="0" w:after="0"/>
      <w:jc w:val="start"/>
    </w:pPr>
    <w:rPr>
      <w:rFonts w:ascii="Georgia" w:hAnsi="Georgia" w:eastAsia="Georgia" w:cs="Georgia"/>
      <w:color w:val="auto"/>
      <w:kern w:val="0"/>
      <w:sz w:val="22"/>
      <w:szCs w:val="22"/>
      <w:lang w:val="en-IN" w:eastAsia="zh-CN" w:bidi="hi-IN"/>
    </w:rPr>
  </w:style>
  <w:style w:type="paragraph" w:styleId="Heading1">
    <w:name w:val="heading 1"/>
    <w:basedOn w:val="Heading"/>
    <w:qFormat/>
    <w:pPr/>
    <w:rPr>
      <w:color w:val="2E74B5"/>
      <w:sz w:val="32"/>
      <w:szCs w:val="32"/>
    </w:rPr>
  </w:style>
  <w:style w:type="paragraph" w:styleId="Heading2">
    <w:name w:val="heading 2"/>
    <w:basedOn w:val="Heading"/>
    <w:qFormat/>
    <w:pPr>
      <w:spacing w:before="300" w:after="120"/>
      <w:outlineLvl w:val="1"/>
    </w:pPr>
    <w:rPr>
      <w:rFonts w:ascii="Arial" w:hAnsi="Arial" w:eastAsia="Arial" w:cs="Arial"/>
      <w:b/>
      <w:bCs/>
      <w:color w:val="0B1F38"/>
      <w:sz w:val="30"/>
      <w:szCs w:val="30"/>
    </w:rPr>
  </w:style>
  <w:style w:type="paragraph" w:styleId="Heading3">
    <w:name w:val="heading 3"/>
    <w:basedOn w:val="Heading"/>
    <w:qFormat/>
    <w:pPr>
      <w:spacing w:before="220" w:after="80"/>
      <w:outlineLvl w:val="2"/>
    </w:pPr>
    <w:rPr>
      <w:rFonts w:ascii="Arial" w:hAnsi="Arial" w:eastAsia="Arial" w:cs="Arial"/>
      <w:b/>
      <w:bCs/>
      <w:color w:val="1A4B7C"/>
      <w:sz w:val="24"/>
      <w:szCs w:val="24"/>
    </w:rPr>
  </w:style>
  <w:style w:type="paragraph" w:styleId="Heading4">
    <w:name w:val="heading 4"/>
    <w:basedOn w:val="Heading"/>
    <w:qFormat/>
    <w:pPr/>
    <w:rPr>
      <w:i/>
      <w:iCs/>
      <w:color w:val="2E74B5"/>
    </w:rPr>
  </w:style>
  <w:style w:type="paragraph" w:styleId="Heading5">
    <w:name w:val="heading 5"/>
    <w:basedOn w:val="Heading"/>
    <w:qFormat/>
    <w:pPr/>
    <w:rPr>
      <w:color w:val="2E74B5"/>
    </w:rPr>
  </w:style>
  <w:style w:type="paragraph" w:styleId="Heading6">
    <w:name w:val="heading 6"/>
    <w:basedOn w:val="Heading"/>
    <w:qFormat/>
    <w:pPr/>
    <w:rPr>
      <w:color w:val="1F4D78"/>
    </w:rPr>
  </w:style>
  <w:style w:type="character" w:styleId="Hyper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styleId="FootnoteTextChar">
    <w:name w:val="Footnote Text Char"/>
    <w:link w:val="FootnoteText"/>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styleId="EndnoteTextChar">
    <w:name w:val="Endnote Text Char"/>
    <w:link w:val="EndnoteText"/>
    <w:uiPriority w:val="99"/>
    <w:semiHidden/>
    <w:unhideWhenUsed/>
    <w:qFormat/>
    <w:rPr>
      <w:sz w:val="20"/>
      <w:szCs w:val="20"/>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itle">
    <w:name w:val="Title"/>
    <w:basedOn w:val="Heading"/>
    <w:qFormat/>
    <w:pPr/>
    <w:rPr>
      <w:sz w:val="56"/>
      <w:szCs w:val="56"/>
    </w:rPr>
  </w:style>
  <w:style w:type="paragraph" w:styleId="StrongEmphasis">
    <w:name w:val="Strong Emphasis"/>
    <w:qFormat/>
    <w:pPr>
      <w:widowControl/>
      <w:bidi w:val="0"/>
      <w:spacing w:before="0" w:after="0"/>
      <w:jc w:val="start"/>
    </w:pPr>
    <w:rPr>
      <w:rFonts w:ascii="Georgia" w:hAnsi="Georgia" w:eastAsia="Georgia" w:cs="Georgia"/>
      <w:b/>
      <w:bCs/>
      <w:color w:val="auto"/>
      <w:kern w:val="0"/>
      <w:sz w:val="22"/>
      <w:szCs w:val="22"/>
      <w:lang w:val="en-IN" w:eastAsia="zh-CN" w:bidi="hi-IN"/>
    </w:rPr>
  </w:style>
  <w:style w:type="paragraph" w:styleId="ListParagraph">
    <w:name w:val="List Paragraph"/>
    <w:qFormat/>
    <w:pPr>
      <w:widowControl/>
      <w:bidi w:val="0"/>
      <w:spacing w:before="0" w:after="0"/>
      <w:jc w:val="start"/>
    </w:pPr>
    <w:rPr>
      <w:rFonts w:ascii="Georgia" w:hAnsi="Georgia" w:eastAsia="Georgia" w:cs="Georgia"/>
      <w:color w:val="auto"/>
      <w:kern w:val="0"/>
      <w:sz w:val="22"/>
      <w:szCs w:val="22"/>
      <w:lang w:val="en-IN" w:eastAsia="zh-CN" w:bidi="hi-IN"/>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TotalTime>
  <Application>LibreOffice/25.8.4.2$MacOSX_AARCH64 LibreOffice_project/290daaa01b999472f0c7a3890eb6a550fd74c6df</Application>
  <AppVersion>15.0000</AppVersion>
  <Pages>6</Pages>
  <Words>2970</Words>
  <Characters>16098</Characters>
  <CharactersWithSpaces>18949</CharactersWithSpaces>
  <Paragraphs>109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2026-06-27T19:42:07Z</dcterms:created>
  <dc:creator>Un-named</dc:creator>
  <dc:description/>
  <dc:language>en-IN</dc:language>
  <cp:lastModifiedBy/>
  <dcterms:modified xsi:type="dcterms:W3CDTF">2026-06-30T08:59:10Z</dcterms:modified>
  <cp:revision>2</cp:revision>
  <dc:subject/>
  <dc:title/>
</cp:coreProperties>
</file>